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112" w:rsidRDefault="00135112" w:rsidP="00135112">
      <w:pPr>
        <w:ind w:left="524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ЗАТВЕРДЖЕНО</w:t>
      </w:r>
    </w:p>
    <w:p w:rsidR="00135112" w:rsidRDefault="00135112" w:rsidP="00135112">
      <w:pPr>
        <w:ind w:left="524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Наказ директора Департаменту охорони культурної спадщини виконавчого органу Київської </w:t>
      </w:r>
    </w:p>
    <w:p w:rsidR="00135112" w:rsidRDefault="00135112" w:rsidP="00135112">
      <w:pPr>
        <w:ind w:left="524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міської ради (Київської міської  </w:t>
      </w:r>
    </w:p>
    <w:p w:rsidR="00135112" w:rsidRDefault="00135112" w:rsidP="00135112">
      <w:pPr>
        <w:ind w:left="524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державної адміністрації)</w:t>
      </w:r>
    </w:p>
    <w:p w:rsidR="00135112" w:rsidRPr="00135112" w:rsidRDefault="00135112" w:rsidP="00135112">
      <w:pPr>
        <w:ind w:left="5245"/>
        <w:jc w:val="center"/>
        <w:rPr>
          <w:color w:val="000000"/>
          <w:sz w:val="10"/>
          <w:szCs w:val="10"/>
        </w:rPr>
      </w:pPr>
    </w:p>
    <w:p w:rsidR="00665DD9" w:rsidRDefault="00135112" w:rsidP="00135112">
      <w:pPr>
        <w:ind w:left="5245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від </w:t>
      </w:r>
      <w:r w:rsidR="007F042A">
        <w:rPr>
          <w:color w:val="000000"/>
          <w:sz w:val="28"/>
          <w:szCs w:val="28"/>
        </w:rPr>
        <w:t xml:space="preserve"> 20.02.2019</w:t>
      </w:r>
      <w:r>
        <w:rPr>
          <w:color w:val="000000"/>
          <w:sz w:val="28"/>
          <w:szCs w:val="28"/>
        </w:rPr>
        <w:t xml:space="preserve"> № </w:t>
      </w:r>
      <w:r w:rsidR="007F042A">
        <w:rPr>
          <w:color w:val="000000"/>
          <w:sz w:val="28"/>
          <w:szCs w:val="28"/>
        </w:rPr>
        <w:t>10</w:t>
      </w:r>
    </w:p>
    <w:p w:rsidR="00642CA1" w:rsidRDefault="00642CA1" w:rsidP="00665DD9">
      <w:pPr>
        <w:jc w:val="center"/>
        <w:rPr>
          <w:rFonts w:eastAsia="Calibri"/>
          <w:sz w:val="28"/>
          <w:szCs w:val="28"/>
        </w:rPr>
      </w:pPr>
    </w:p>
    <w:p w:rsidR="00665DD9" w:rsidRDefault="00665DD9" w:rsidP="00665DD9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УМОВИ</w:t>
      </w:r>
    </w:p>
    <w:p w:rsidR="00665DD9" w:rsidRDefault="00665DD9" w:rsidP="00665DD9">
      <w:pPr>
        <w:shd w:val="clear" w:color="auto" w:fill="FFFFFF"/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проведення конкурсу на зайняття вакантної посади </w:t>
      </w:r>
      <w:r w:rsidR="00135112">
        <w:rPr>
          <w:bCs/>
          <w:sz w:val="28"/>
          <w:szCs w:val="28"/>
        </w:rPr>
        <w:t>головного спеціаліст</w:t>
      </w:r>
      <w:r w:rsidR="00C36786">
        <w:rPr>
          <w:bCs/>
          <w:sz w:val="28"/>
          <w:szCs w:val="28"/>
        </w:rPr>
        <w:t>а</w:t>
      </w:r>
      <w:r w:rsidR="00135112">
        <w:rPr>
          <w:bCs/>
          <w:sz w:val="28"/>
          <w:szCs w:val="28"/>
        </w:rPr>
        <w:t xml:space="preserve"> </w:t>
      </w:r>
      <w:r w:rsidR="00C36786">
        <w:rPr>
          <w:bCs/>
          <w:sz w:val="28"/>
          <w:szCs w:val="28"/>
        </w:rPr>
        <w:t>відділу моніторингу зон охорони управління охорони об’єктів культурної спадщини та історичного середовища</w:t>
      </w:r>
      <w:r>
        <w:rPr>
          <w:bCs/>
          <w:sz w:val="28"/>
          <w:szCs w:val="28"/>
        </w:rPr>
        <w:t xml:space="preserve"> Департаменту </w:t>
      </w:r>
      <w:r w:rsidR="006D1FA0">
        <w:rPr>
          <w:bCs/>
          <w:sz w:val="28"/>
          <w:szCs w:val="28"/>
        </w:rPr>
        <w:t>охорони культурної спадщини</w:t>
      </w:r>
      <w:r>
        <w:rPr>
          <w:bCs/>
          <w:sz w:val="28"/>
          <w:szCs w:val="28"/>
        </w:rPr>
        <w:t xml:space="preserve"> виконавчого органу Київської міської ради (Київської міської державної адміністрації) </w:t>
      </w:r>
    </w:p>
    <w:p w:rsidR="00665DD9" w:rsidRPr="00135112" w:rsidRDefault="00665DD9" w:rsidP="00665DD9">
      <w:pPr>
        <w:jc w:val="center"/>
        <w:rPr>
          <w:rFonts w:eastAsia="Calibri"/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/>
      </w:tblPr>
      <w:tblGrid>
        <w:gridCol w:w="2943"/>
        <w:gridCol w:w="284"/>
        <w:gridCol w:w="283"/>
        <w:gridCol w:w="142"/>
        <w:gridCol w:w="6379"/>
        <w:gridCol w:w="142"/>
      </w:tblGrid>
      <w:tr w:rsidR="00665DD9" w:rsidTr="00665DD9">
        <w:trPr>
          <w:gridAfter w:val="1"/>
          <w:wAfter w:w="142" w:type="dxa"/>
        </w:trPr>
        <w:tc>
          <w:tcPr>
            <w:tcW w:w="1003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65DD9" w:rsidRDefault="00665DD9">
            <w:pPr>
              <w:tabs>
                <w:tab w:val="left" w:pos="1275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Загальні умови</w:t>
            </w:r>
          </w:p>
          <w:p w:rsidR="00665DD9" w:rsidRDefault="00665DD9">
            <w:pPr>
              <w:tabs>
                <w:tab w:val="left" w:pos="1275"/>
              </w:tabs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665DD9" w:rsidTr="00665DD9">
        <w:trPr>
          <w:gridAfter w:val="1"/>
          <w:wAfter w:w="142" w:type="dxa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65DD9" w:rsidRDefault="00665DD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Посадові обов’язки</w:t>
            </w:r>
          </w:p>
        </w:tc>
        <w:tc>
          <w:tcPr>
            <w:tcW w:w="7088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730CD6" w:rsidRDefault="00135112" w:rsidP="003B0616">
            <w:pPr>
              <w:ind w:right="-2" w:firstLine="743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Головний спеціаліст </w:t>
            </w:r>
            <w:r w:rsidR="00C36786">
              <w:rPr>
                <w:bCs/>
                <w:sz w:val="28"/>
                <w:szCs w:val="28"/>
              </w:rPr>
              <w:t>відділу моніторингу зон охорони управління охорони об’єктів культурної спадщини та історичного середовища</w:t>
            </w:r>
            <w:r w:rsidR="00730CD6">
              <w:rPr>
                <w:bCs/>
                <w:sz w:val="28"/>
                <w:szCs w:val="28"/>
              </w:rPr>
              <w:t xml:space="preserve"> Департаменту охорони культурної спадщини </w:t>
            </w:r>
            <w:r w:rsidR="00730CD6" w:rsidRPr="000D66DE">
              <w:rPr>
                <w:bCs/>
                <w:sz w:val="28"/>
                <w:szCs w:val="28"/>
              </w:rPr>
              <w:t>виконавчого органу Київської міської ради (Київської м</w:t>
            </w:r>
            <w:r w:rsidR="00730CD6">
              <w:rPr>
                <w:bCs/>
                <w:sz w:val="28"/>
                <w:szCs w:val="28"/>
              </w:rPr>
              <w:t>іської державної адміністрації):</w:t>
            </w:r>
          </w:p>
          <w:p w:rsidR="00C36786" w:rsidRDefault="00C36786" w:rsidP="00C36786">
            <w:pPr>
              <w:tabs>
                <w:tab w:val="left" w:pos="601"/>
              </w:tabs>
              <w:ind w:right="-2" w:firstLine="459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проводить планові та позапланові заходи моніторингу на об’єктах археологічної спадщини та/або їх частинах, пов’язаних з ними територій і охоронних зон, зон охорони на предмет дотримання законодавства у сфері охорони культурної спадщини;</w:t>
            </w:r>
          </w:p>
          <w:p w:rsidR="00C36786" w:rsidRDefault="00C36786" w:rsidP="00C36786">
            <w:pPr>
              <w:ind w:firstLine="56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видає приписи (розпорядження) </w:t>
            </w:r>
            <w:r w:rsidRPr="0043321B">
              <w:rPr>
                <w:sz w:val="28"/>
                <w:szCs w:val="28"/>
              </w:rPr>
              <w:t xml:space="preserve">щодо охорони пам'яток місцевого значення, </w:t>
            </w:r>
            <w:r>
              <w:rPr>
                <w:sz w:val="28"/>
                <w:szCs w:val="28"/>
              </w:rPr>
              <w:t>археологічних та ландшафтних пам'яток, об</w:t>
            </w:r>
            <w:r w:rsidRPr="00FA3328">
              <w:rPr>
                <w:sz w:val="28"/>
                <w:szCs w:val="28"/>
              </w:rPr>
              <w:t>’</w:t>
            </w:r>
            <w:r>
              <w:rPr>
                <w:sz w:val="28"/>
                <w:szCs w:val="28"/>
              </w:rPr>
              <w:t xml:space="preserve">єктів містобудування і садово-паркового мистецтва, </w:t>
            </w:r>
            <w:r w:rsidRPr="0043321B">
              <w:rPr>
                <w:sz w:val="28"/>
                <w:szCs w:val="28"/>
              </w:rPr>
              <w:t>припинення робіт на пам'ятках, їх територіях та в зонах охорони, якщо ці роботи проводяться без затверджених або погоджених з відповідним органом охорони культурної спадщини програм та проектів, передбачених законодавством про охорону культурної та археологічної спадщини дозволів або з відхиленням від них</w:t>
            </w:r>
            <w:r>
              <w:rPr>
                <w:sz w:val="28"/>
                <w:szCs w:val="28"/>
              </w:rPr>
              <w:t>, та здійснює контроль за їх виконанням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C36786" w:rsidRDefault="00C36786" w:rsidP="00C36786">
            <w:pPr>
              <w:ind w:firstLine="567"/>
              <w:jc w:val="both"/>
              <w:rPr>
                <w:color w:val="000000"/>
                <w:sz w:val="28"/>
                <w:szCs w:val="28"/>
              </w:rPr>
            </w:pPr>
            <w:r w:rsidRPr="00E94077">
              <w:rPr>
                <w:sz w:val="28"/>
                <w:szCs w:val="28"/>
              </w:rPr>
              <w:t>здійснює заходи, необхідні для запобігання фактам не</w:t>
            </w:r>
            <w:r>
              <w:rPr>
                <w:color w:val="000000"/>
                <w:sz w:val="28"/>
                <w:szCs w:val="28"/>
              </w:rPr>
              <w:t>законного виконання робіт на об’єктах культурної спадщини міста Києва, з метою забезпечення захисту таких об’єктів від загрози знищення, руйнування або пошкодження;</w:t>
            </w:r>
          </w:p>
          <w:p w:rsidR="00C36786" w:rsidRDefault="00C36786" w:rsidP="00C36786">
            <w:pPr>
              <w:ind w:firstLine="56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забезпечує належний захист та утримання об’єктів археологічної спадщини на території міста Києва, </w:t>
            </w:r>
            <w:r>
              <w:rPr>
                <w:color w:val="000000"/>
                <w:sz w:val="28"/>
                <w:szCs w:val="28"/>
              </w:rPr>
              <w:lastRenderedPageBreak/>
              <w:t>здійснює відповідно до закону нагляду за станом схоронності археологічних пам’яток;</w:t>
            </w:r>
          </w:p>
          <w:p w:rsidR="00C36786" w:rsidRDefault="00C36786" w:rsidP="00C36786">
            <w:pPr>
              <w:tabs>
                <w:tab w:val="left" w:pos="601"/>
              </w:tabs>
              <w:ind w:right="-2" w:firstLine="459"/>
              <w:jc w:val="both"/>
              <w:rPr>
                <w:bCs/>
                <w:sz w:val="28"/>
                <w:szCs w:val="28"/>
              </w:rPr>
            </w:pPr>
            <w:r w:rsidRPr="003B38AE">
              <w:rPr>
                <w:sz w:val="28"/>
                <w:szCs w:val="28"/>
              </w:rPr>
              <w:t>представля</w:t>
            </w:r>
            <w:r>
              <w:rPr>
                <w:sz w:val="28"/>
                <w:szCs w:val="28"/>
              </w:rPr>
              <w:t>є</w:t>
            </w:r>
            <w:r w:rsidRPr="003B38AE">
              <w:rPr>
                <w:sz w:val="28"/>
                <w:szCs w:val="28"/>
              </w:rPr>
              <w:t xml:space="preserve"> відділ у судах усіх рівнів, в установленому законодавством порядку під час розгляду правових питань,</w:t>
            </w:r>
            <w:r>
              <w:rPr>
                <w:sz w:val="28"/>
                <w:szCs w:val="28"/>
              </w:rPr>
              <w:t xml:space="preserve"> що стосуються його компетенції.</w:t>
            </w:r>
          </w:p>
          <w:p w:rsidR="00897C25" w:rsidRPr="007C2427" w:rsidRDefault="007C2427" w:rsidP="00C36786">
            <w:pPr>
              <w:pStyle w:val="a8"/>
              <w:shd w:val="clear" w:color="auto" w:fill="FFFFFF"/>
              <w:ind w:left="0" w:firstLine="535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665DD9" w:rsidTr="00665DD9">
        <w:trPr>
          <w:gridAfter w:val="1"/>
          <w:wAfter w:w="142" w:type="dxa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65DD9" w:rsidRDefault="00665DD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Умови оплати праці</w:t>
            </w:r>
          </w:p>
        </w:tc>
        <w:tc>
          <w:tcPr>
            <w:tcW w:w="7088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665DD9" w:rsidRDefault="00C36786" w:rsidP="00135112">
            <w:pPr>
              <w:ind w:firstLine="601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1) посадовий оклад</w:t>
            </w:r>
            <w:r w:rsidR="00506452">
              <w:rPr>
                <w:sz w:val="28"/>
                <w:szCs w:val="28"/>
                <w:lang w:eastAsia="en-US"/>
              </w:rPr>
              <w:t xml:space="preserve"> згідно штатного розпису</w:t>
            </w:r>
            <w:r w:rsidR="00665DD9">
              <w:rPr>
                <w:sz w:val="28"/>
                <w:szCs w:val="28"/>
                <w:lang w:eastAsia="en-US"/>
              </w:rPr>
              <w:t>;</w:t>
            </w:r>
          </w:p>
          <w:p w:rsidR="00665DD9" w:rsidRDefault="00665DD9" w:rsidP="00135112">
            <w:pPr>
              <w:ind w:firstLine="601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2) надбавки, доплати та премії </w:t>
            </w:r>
            <w:r w:rsidR="006D1FA0">
              <w:rPr>
                <w:sz w:val="28"/>
                <w:szCs w:val="28"/>
                <w:lang w:eastAsia="en-US"/>
              </w:rPr>
              <w:t>–</w:t>
            </w:r>
            <w:r>
              <w:rPr>
                <w:sz w:val="28"/>
                <w:szCs w:val="28"/>
                <w:lang w:eastAsia="en-US"/>
              </w:rPr>
              <w:t xml:space="preserve"> передбачені Законом України «Про державну службу».</w:t>
            </w:r>
          </w:p>
        </w:tc>
      </w:tr>
      <w:tr w:rsidR="00665DD9" w:rsidTr="00665DD9">
        <w:trPr>
          <w:gridAfter w:val="1"/>
          <w:wAfter w:w="142" w:type="dxa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65DD9" w:rsidRDefault="00665DD9" w:rsidP="0035730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Інформація про строковість чи безстроковість призначення на посаду </w:t>
            </w:r>
          </w:p>
        </w:tc>
        <w:tc>
          <w:tcPr>
            <w:tcW w:w="70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5DD9" w:rsidRDefault="00665DD9" w:rsidP="00135112">
            <w:pPr>
              <w:pStyle w:val="a5"/>
              <w:spacing w:before="0"/>
              <w:ind w:firstLine="601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Відповідно до частини першої статті 34 Закону України «Про державну службу» призначення на посаду здійснюється безстроково.</w:t>
            </w:r>
          </w:p>
          <w:p w:rsidR="00665DD9" w:rsidRDefault="00665DD9" w:rsidP="00207308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665DD9" w:rsidTr="00665DD9">
        <w:trPr>
          <w:gridAfter w:val="1"/>
          <w:wAfter w:w="142" w:type="dxa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65DD9" w:rsidRDefault="00665DD9" w:rsidP="0035730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Перелік документів, необхідних для участі в конкурсі, та строк їх подання </w:t>
            </w:r>
          </w:p>
          <w:p w:rsidR="00665DD9" w:rsidRDefault="00665DD9" w:rsidP="0035730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665DD9" w:rsidRDefault="00665DD9" w:rsidP="00135112">
            <w:pPr>
              <w:ind w:firstLine="601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Особа, яка бажає взяти участь у конкурсі, подає (особисто або поштою) конкурсній комісії такі документи:</w:t>
            </w:r>
          </w:p>
          <w:p w:rsidR="00665DD9" w:rsidRDefault="00FC09B2" w:rsidP="00FC09B2">
            <w:pPr>
              <w:ind w:firstLine="3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1) </w:t>
            </w:r>
            <w:r w:rsidR="00665DD9">
              <w:rPr>
                <w:sz w:val="28"/>
                <w:szCs w:val="28"/>
                <w:lang w:eastAsia="en-US"/>
              </w:rPr>
              <w:t>копію паспорта громадянина України;</w:t>
            </w:r>
          </w:p>
          <w:p w:rsidR="00665DD9" w:rsidRDefault="00FC09B2" w:rsidP="00207308">
            <w:pPr>
              <w:ind w:firstLine="3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2) </w:t>
            </w:r>
            <w:r w:rsidR="00665DD9">
              <w:rPr>
                <w:sz w:val="28"/>
                <w:szCs w:val="28"/>
                <w:lang w:eastAsia="en-US"/>
              </w:rPr>
              <w:t>письмову заяву про участь у конкурсі із зазначенням основних мотивів до зайняття посади державної служби, до якої додається резюме у довільній формі;</w:t>
            </w:r>
          </w:p>
          <w:p w:rsidR="00665DD9" w:rsidRDefault="00FC09B2" w:rsidP="00207308">
            <w:pPr>
              <w:ind w:firstLine="3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3) </w:t>
            </w:r>
            <w:r w:rsidR="00665DD9">
              <w:rPr>
                <w:sz w:val="28"/>
                <w:szCs w:val="28"/>
                <w:lang w:eastAsia="en-US"/>
              </w:rPr>
              <w:t>письмову заяву, в якій повідомляє про те,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оприлюднення відомостей стосовно неї відповідно до зазначеного Закону;</w:t>
            </w:r>
          </w:p>
          <w:p w:rsidR="00665DD9" w:rsidRDefault="00FC09B2" w:rsidP="00207308">
            <w:pPr>
              <w:ind w:firstLine="3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4) </w:t>
            </w:r>
            <w:r w:rsidR="00665DD9">
              <w:rPr>
                <w:sz w:val="28"/>
                <w:szCs w:val="28"/>
                <w:lang w:eastAsia="en-US"/>
              </w:rPr>
              <w:t>копію (копії) документа (документів) про освіту;</w:t>
            </w:r>
          </w:p>
          <w:p w:rsidR="00665DD9" w:rsidRDefault="00665DD9" w:rsidP="00207308">
            <w:pPr>
              <w:ind w:firstLine="3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5) оригінал посвідчення атестації щодо вільного володіння державною мовою;</w:t>
            </w:r>
          </w:p>
          <w:p w:rsidR="00665DD9" w:rsidRDefault="00FC09B2" w:rsidP="00207308">
            <w:pPr>
              <w:ind w:firstLine="3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6) </w:t>
            </w:r>
            <w:r w:rsidR="00665DD9">
              <w:rPr>
                <w:sz w:val="28"/>
                <w:szCs w:val="28"/>
                <w:lang w:eastAsia="en-US"/>
              </w:rPr>
              <w:t>заповнену особову картку встановленого зразка;</w:t>
            </w:r>
          </w:p>
          <w:p w:rsidR="00665DD9" w:rsidRPr="00C419DF" w:rsidRDefault="00FC09B2" w:rsidP="00207308">
            <w:pPr>
              <w:ind w:firstLine="3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7) </w:t>
            </w:r>
            <w:r w:rsidR="00665DD9">
              <w:rPr>
                <w:sz w:val="28"/>
                <w:szCs w:val="28"/>
                <w:lang w:eastAsia="en-US"/>
              </w:rPr>
              <w:t>декларацію особи, уповноваженої на виконання функцій держави або місцевого самоврядування, за минулий рік (надається у вигляді роздрукованого примірника заповненої декларації</w:t>
            </w:r>
            <w:r w:rsidR="00C419DF">
              <w:rPr>
                <w:sz w:val="28"/>
                <w:szCs w:val="28"/>
                <w:lang w:eastAsia="en-US"/>
              </w:rPr>
              <w:t xml:space="preserve"> на офіційному </w:t>
            </w:r>
            <w:proofErr w:type="spellStart"/>
            <w:r w:rsidR="00C419DF">
              <w:rPr>
                <w:sz w:val="28"/>
                <w:szCs w:val="28"/>
                <w:lang w:eastAsia="en-US"/>
              </w:rPr>
              <w:t>веб-сайті</w:t>
            </w:r>
            <w:proofErr w:type="spellEnd"/>
            <w:r w:rsidR="00C419DF">
              <w:rPr>
                <w:sz w:val="28"/>
                <w:szCs w:val="28"/>
                <w:lang w:eastAsia="en-US"/>
              </w:rPr>
              <w:t xml:space="preserve"> НАЗК)</w:t>
            </w:r>
            <w:r w:rsidR="0004557C">
              <w:rPr>
                <w:sz w:val="28"/>
                <w:szCs w:val="28"/>
                <w:lang w:val="ru-RU" w:eastAsia="en-US"/>
              </w:rPr>
              <w:t>.</w:t>
            </w:r>
          </w:p>
          <w:p w:rsidR="00665DD9" w:rsidRDefault="00665DD9" w:rsidP="00135112">
            <w:pPr>
              <w:pStyle w:val="a4"/>
              <w:shd w:val="clear" w:color="auto" w:fill="FFFFFF"/>
              <w:spacing w:before="0" w:beforeAutospacing="0" w:after="0" w:afterAutospacing="0"/>
              <w:ind w:firstLine="601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Особа, яка виявила бажання взяти участь у конкурсі, може подавати додаткові документи стосовно досвіду роботи, професійної компетентності і репутації (характеристики, рекомендації, наукові публікації та інші).</w:t>
            </w:r>
          </w:p>
          <w:p w:rsidR="00665DD9" w:rsidRDefault="00665DD9" w:rsidP="00135112">
            <w:pPr>
              <w:pStyle w:val="a4"/>
              <w:shd w:val="clear" w:color="auto" w:fill="FFFFFF"/>
              <w:spacing w:before="0" w:beforeAutospacing="0" w:after="0" w:afterAutospacing="0"/>
              <w:ind w:firstLine="601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Особа з інвалідністю, яка бажає взяти участь у конкурсі та потребує у зв'язку з цим розумного пристосування, подає заяву (за формою) про забезпечення в установленому порядку розумного пристосування.</w:t>
            </w:r>
          </w:p>
          <w:p w:rsidR="00665DD9" w:rsidRDefault="00665DD9" w:rsidP="00F07902">
            <w:pPr>
              <w:ind w:firstLine="601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Документи приймаються до 1</w:t>
            </w:r>
            <w:r w:rsidR="00F07902">
              <w:rPr>
                <w:sz w:val="28"/>
                <w:szCs w:val="28"/>
                <w:lang w:eastAsia="en-US"/>
              </w:rPr>
              <w:t>6</w:t>
            </w:r>
            <w:r>
              <w:rPr>
                <w:sz w:val="28"/>
                <w:szCs w:val="28"/>
                <w:lang w:eastAsia="en-US"/>
              </w:rPr>
              <w:t>.</w:t>
            </w:r>
            <w:r w:rsidR="0061522D">
              <w:rPr>
                <w:sz w:val="28"/>
                <w:szCs w:val="28"/>
                <w:lang w:eastAsia="en-US"/>
              </w:rPr>
              <w:t>00</w:t>
            </w:r>
            <w:r w:rsidR="006D1FA0">
              <w:rPr>
                <w:sz w:val="28"/>
                <w:szCs w:val="28"/>
                <w:lang w:val="ru-RU" w:eastAsia="en-US"/>
              </w:rPr>
              <w:t xml:space="preserve"> </w:t>
            </w:r>
            <w:r w:rsidR="00540B00">
              <w:rPr>
                <w:sz w:val="28"/>
                <w:szCs w:val="28"/>
                <w:lang w:val="ru-RU" w:eastAsia="en-US"/>
              </w:rPr>
              <w:t>0</w:t>
            </w:r>
            <w:r w:rsidR="00F07902">
              <w:rPr>
                <w:sz w:val="28"/>
                <w:szCs w:val="28"/>
                <w:lang w:val="ru-RU" w:eastAsia="en-US"/>
              </w:rPr>
              <w:t>7</w:t>
            </w:r>
            <w:r w:rsidR="00540B00">
              <w:rPr>
                <w:sz w:val="28"/>
                <w:szCs w:val="28"/>
                <w:lang w:val="ru-RU" w:eastAsia="en-US"/>
              </w:rPr>
              <w:t xml:space="preserve"> </w:t>
            </w:r>
            <w:r w:rsidR="00F07902" w:rsidRPr="00F07902">
              <w:rPr>
                <w:sz w:val="28"/>
                <w:szCs w:val="28"/>
                <w:lang w:eastAsia="en-US"/>
              </w:rPr>
              <w:t>березня</w:t>
            </w:r>
            <w:r w:rsidR="0061522D">
              <w:rPr>
                <w:sz w:val="28"/>
                <w:szCs w:val="28"/>
                <w:lang w:val="ru-RU" w:eastAsia="en-US"/>
              </w:rPr>
              <w:br/>
            </w:r>
            <w:r>
              <w:rPr>
                <w:sz w:val="28"/>
                <w:szCs w:val="28"/>
                <w:lang w:eastAsia="en-US"/>
              </w:rPr>
              <w:t>201</w:t>
            </w:r>
            <w:r w:rsidR="00FC09B2">
              <w:rPr>
                <w:sz w:val="28"/>
                <w:szCs w:val="28"/>
                <w:lang w:eastAsia="en-US"/>
              </w:rPr>
              <w:t>9</w:t>
            </w:r>
            <w:r>
              <w:rPr>
                <w:sz w:val="28"/>
                <w:szCs w:val="28"/>
                <w:lang w:eastAsia="en-US"/>
              </w:rPr>
              <w:t xml:space="preserve"> року</w:t>
            </w:r>
            <w:r w:rsidR="00506452">
              <w:rPr>
                <w:sz w:val="28"/>
                <w:szCs w:val="28"/>
                <w:lang w:eastAsia="en-US"/>
              </w:rPr>
              <w:t>:</w:t>
            </w:r>
          </w:p>
        </w:tc>
      </w:tr>
      <w:tr w:rsidR="00665DD9" w:rsidTr="00665DD9">
        <w:trPr>
          <w:gridAfter w:val="1"/>
          <w:wAfter w:w="142" w:type="dxa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65DD9" w:rsidRDefault="00665DD9" w:rsidP="0035730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Місце, час та дата проведення конкурсу</w:t>
            </w:r>
          </w:p>
        </w:tc>
        <w:tc>
          <w:tcPr>
            <w:tcW w:w="70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5DD9" w:rsidRDefault="00506452" w:rsidP="00207308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</w:t>
            </w:r>
            <w:r w:rsidR="00665DD9">
              <w:rPr>
                <w:sz w:val="28"/>
                <w:szCs w:val="28"/>
                <w:lang w:eastAsia="en-US"/>
              </w:rPr>
              <w:t xml:space="preserve">м. Київ, вул. </w:t>
            </w:r>
            <w:r w:rsidR="006D1FA0">
              <w:rPr>
                <w:sz w:val="28"/>
                <w:szCs w:val="28"/>
                <w:lang w:eastAsia="en-US"/>
              </w:rPr>
              <w:t>Спаська</w:t>
            </w:r>
            <w:r w:rsidR="00665DD9">
              <w:rPr>
                <w:sz w:val="28"/>
                <w:szCs w:val="28"/>
                <w:lang w:eastAsia="en-US"/>
              </w:rPr>
              <w:t xml:space="preserve">, </w:t>
            </w:r>
            <w:r w:rsidR="006D1FA0">
              <w:rPr>
                <w:sz w:val="28"/>
                <w:szCs w:val="28"/>
                <w:lang w:eastAsia="en-US"/>
              </w:rPr>
              <w:t>12</w:t>
            </w:r>
            <w:r w:rsidR="00665DD9">
              <w:rPr>
                <w:sz w:val="28"/>
                <w:szCs w:val="28"/>
                <w:lang w:eastAsia="en-US"/>
              </w:rPr>
              <w:t xml:space="preserve">, </w:t>
            </w:r>
            <w:r w:rsidR="00F07902">
              <w:rPr>
                <w:sz w:val="28"/>
                <w:szCs w:val="28"/>
                <w:lang w:eastAsia="en-US"/>
              </w:rPr>
              <w:t>11</w:t>
            </w:r>
            <w:r w:rsidR="00540B00">
              <w:rPr>
                <w:sz w:val="28"/>
                <w:szCs w:val="28"/>
                <w:lang w:eastAsia="en-US"/>
              </w:rPr>
              <w:t xml:space="preserve"> </w:t>
            </w:r>
            <w:r w:rsidR="00F07902">
              <w:rPr>
                <w:sz w:val="28"/>
                <w:szCs w:val="28"/>
                <w:lang w:eastAsia="en-US"/>
              </w:rPr>
              <w:t>березня</w:t>
            </w:r>
            <w:r w:rsidR="00357307">
              <w:rPr>
                <w:sz w:val="28"/>
                <w:szCs w:val="28"/>
                <w:lang w:eastAsia="en-US"/>
              </w:rPr>
              <w:t xml:space="preserve"> 201</w:t>
            </w:r>
            <w:r w:rsidR="00FC09B2">
              <w:rPr>
                <w:sz w:val="28"/>
                <w:szCs w:val="28"/>
                <w:lang w:eastAsia="en-US"/>
              </w:rPr>
              <w:t>9</w:t>
            </w:r>
            <w:r w:rsidR="00357307">
              <w:rPr>
                <w:sz w:val="28"/>
                <w:szCs w:val="28"/>
                <w:lang w:eastAsia="en-US"/>
              </w:rPr>
              <w:t xml:space="preserve"> року о </w:t>
            </w:r>
            <w:r w:rsidR="00F07902">
              <w:rPr>
                <w:sz w:val="28"/>
                <w:szCs w:val="28"/>
                <w:lang w:eastAsia="en-US"/>
              </w:rPr>
              <w:t>10</w:t>
            </w:r>
            <w:r w:rsidR="00357307">
              <w:rPr>
                <w:sz w:val="28"/>
                <w:szCs w:val="28"/>
                <w:lang w:eastAsia="en-US"/>
              </w:rPr>
              <w:t>.</w:t>
            </w:r>
            <w:r w:rsidR="00540B00">
              <w:rPr>
                <w:sz w:val="28"/>
                <w:szCs w:val="28"/>
                <w:lang w:eastAsia="en-US"/>
              </w:rPr>
              <w:t>0</w:t>
            </w:r>
            <w:r w:rsidR="00665DD9">
              <w:rPr>
                <w:sz w:val="28"/>
                <w:szCs w:val="28"/>
                <w:lang w:eastAsia="en-US"/>
              </w:rPr>
              <w:t>0.</w:t>
            </w:r>
          </w:p>
          <w:p w:rsidR="00665DD9" w:rsidRDefault="00665DD9" w:rsidP="00207308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665DD9" w:rsidTr="00665DD9">
        <w:trPr>
          <w:gridAfter w:val="1"/>
          <w:wAfter w:w="142" w:type="dxa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65DD9" w:rsidRDefault="00665DD9" w:rsidP="0035730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Прізвище, ім’я та по батькові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70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6E1D" w:rsidRDefault="00540B00" w:rsidP="00135112">
            <w:pPr>
              <w:ind w:firstLine="60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Литвиненко Наталія Петрівна</w:t>
            </w:r>
            <w:r w:rsidR="00665DD9">
              <w:rPr>
                <w:sz w:val="28"/>
                <w:szCs w:val="28"/>
                <w:lang w:eastAsia="en-US"/>
              </w:rPr>
              <w:t xml:space="preserve">, +38 (044) </w:t>
            </w:r>
            <w:r>
              <w:rPr>
                <w:sz w:val="28"/>
                <w:szCs w:val="28"/>
                <w:lang w:eastAsia="en-US"/>
              </w:rPr>
              <w:t>425</w:t>
            </w:r>
            <w:r w:rsidR="00665DD9">
              <w:rPr>
                <w:sz w:val="28"/>
                <w:szCs w:val="28"/>
                <w:lang w:eastAsia="en-US"/>
              </w:rPr>
              <w:t>-</w:t>
            </w:r>
            <w:r>
              <w:rPr>
                <w:sz w:val="28"/>
                <w:szCs w:val="28"/>
                <w:lang w:eastAsia="en-US"/>
              </w:rPr>
              <w:t>92-71</w:t>
            </w:r>
            <w:r w:rsidR="00665DD9">
              <w:rPr>
                <w:sz w:val="28"/>
                <w:szCs w:val="28"/>
                <w:lang w:eastAsia="en-US"/>
              </w:rPr>
              <w:t>,</w:t>
            </w:r>
          </w:p>
          <w:p w:rsidR="00666E1D" w:rsidRDefault="00665DD9" w:rsidP="0020730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  <w:r w:rsidR="00666E1D">
              <w:rPr>
                <w:sz w:val="28"/>
                <w:szCs w:val="28"/>
                <w:lang w:eastAsia="en-US"/>
              </w:rPr>
              <w:t>+38 (044) 425-</w:t>
            </w:r>
            <w:r w:rsidR="00FC09B2">
              <w:rPr>
                <w:sz w:val="28"/>
                <w:szCs w:val="28"/>
                <w:lang w:eastAsia="en-US"/>
              </w:rPr>
              <w:t>30</w:t>
            </w:r>
            <w:r w:rsidR="00666E1D">
              <w:rPr>
                <w:sz w:val="28"/>
                <w:szCs w:val="28"/>
                <w:lang w:eastAsia="en-US"/>
              </w:rPr>
              <w:t>-</w:t>
            </w:r>
            <w:r w:rsidR="00FC09B2">
              <w:rPr>
                <w:sz w:val="28"/>
                <w:szCs w:val="28"/>
                <w:lang w:eastAsia="en-US"/>
              </w:rPr>
              <w:t>25</w:t>
            </w:r>
          </w:p>
          <w:p w:rsidR="00665DD9" w:rsidRPr="00666E1D" w:rsidRDefault="00666E1D" w:rsidP="00FC09B2">
            <w:pPr>
              <w:ind w:firstLine="601"/>
              <w:rPr>
                <w:color w:val="000000" w:themeColor="text1"/>
                <w:sz w:val="28"/>
                <w:szCs w:val="28"/>
                <w:lang w:val="ru-RU" w:eastAsia="en-US"/>
              </w:rPr>
            </w:pPr>
            <w:r>
              <w:rPr>
                <w:color w:val="000000"/>
                <w:sz w:val="28"/>
                <w:szCs w:val="28"/>
              </w:rPr>
              <w:t xml:space="preserve">адреса електронної пошти </w:t>
            </w:r>
            <w:hyperlink r:id="rId5" w:history="1">
              <w:r w:rsidRPr="00666E1D">
                <w:rPr>
                  <w:rStyle w:val="a3"/>
                  <w:color w:val="000000" w:themeColor="text1"/>
                  <w:sz w:val="28"/>
                  <w:szCs w:val="28"/>
                  <w:lang w:val="en-US" w:eastAsia="en-US"/>
                </w:rPr>
                <w:t>doks</w:t>
              </w:r>
              <w:r w:rsidRPr="00666E1D">
                <w:rPr>
                  <w:rStyle w:val="a3"/>
                  <w:color w:val="000000" w:themeColor="text1"/>
                  <w:sz w:val="28"/>
                  <w:szCs w:val="28"/>
                  <w:lang w:val="ru-RU" w:eastAsia="en-US"/>
                </w:rPr>
                <w:t>.</w:t>
              </w:r>
              <w:r w:rsidRPr="00666E1D">
                <w:rPr>
                  <w:rStyle w:val="a3"/>
                  <w:color w:val="000000" w:themeColor="text1"/>
                  <w:sz w:val="28"/>
                  <w:szCs w:val="28"/>
                  <w:lang w:val="en-US" w:eastAsia="en-US"/>
                </w:rPr>
                <w:t>kmda</w:t>
              </w:r>
              <w:r w:rsidRPr="00666E1D">
                <w:rPr>
                  <w:rStyle w:val="a3"/>
                  <w:color w:val="000000" w:themeColor="text1"/>
                  <w:sz w:val="28"/>
                  <w:szCs w:val="28"/>
                  <w:lang w:val="ru-RU" w:eastAsia="en-US"/>
                </w:rPr>
                <w:t>@</w:t>
              </w:r>
              <w:r w:rsidRPr="00666E1D">
                <w:rPr>
                  <w:rStyle w:val="a3"/>
                  <w:color w:val="000000" w:themeColor="text1"/>
                  <w:sz w:val="28"/>
                  <w:szCs w:val="28"/>
                  <w:lang w:val="en-US" w:eastAsia="en-US"/>
                </w:rPr>
                <w:t>ukr</w:t>
              </w:r>
              <w:r w:rsidRPr="00666E1D">
                <w:rPr>
                  <w:rStyle w:val="a3"/>
                  <w:color w:val="000000" w:themeColor="text1"/>
                  <w:sz w:val="28"/>
                  <w:szCs w:val="28"/>
                  <w:lang w:val="ru-RU" w:eastAsia="en-US"/>
                </w:rPr>
                <w:t>.</w:t>
              </w:r>
              <w:r w:rsidRPr="00666E1D">
                <w:rPr>
                  <w:rStyle w:val="a3"/>
                  <w:color w:val="000000" w:themeColor="text1"/>
                  <w:sz w:val="28"/>
                  <w:szCs w:val="28"/>
                  <w:lang w:val="en-US" w:eastAsia="en-US"/>
                </w:rPr>
                <w:t>net</w:t>
              </w:r>
            </w:hyperlink>
          </w:p>
          <w:p w:rsidR="00665DD9" w:rsidRDefault="00665DD9" w:rsidP="00207308">
            <w:pPr>
              <w:rPr>
                <w:sz w:val="28"/>
                <w:szCs w:val="28"/>
                <w:lang w:val="ru-RU" w:eastAsia="en-US"/>
              </w:rPr>
            </w:pPr>
          </w:p>
          <w:p w:rsidR="00665DD9" w:rsidRDefault="00665DD9" w:rsidP="00207308">
            <w:pPr>
              <w:rPr>
                <w:sz w:val="28"/>
                <w:szCs w:val="28"/>
                <w:lang w:val="ru-RU" w:eastAsia="en-US"/>
              </w:rPr>
            </w:pPr>
          </w:p>
          <w:p w:rsidR="00665DD9" w:rsidRDefault="00665DD9" w:rsidP="00207308">
            <w:pPr>
              <w:rPr>
                <w:sz w:val="28"/>
                <w:szCs w:val="28"/>
                <w:lang w:val="ru-RU" w:eastAsia="en-US"/>
              </w:rPr>
            </w:pPr>
          </w:p>
        </w:tc>
      </w:tr>
      <w:tr w:rsidR="00665DD9" w:rsidTr="00665DD9">
        <w:trPr>
          <w:gridAfter w:val="1"/>
          <w:wAfter w:w="142" w:type="dxa"/>
        </w:trPr>
        <w:tc>
          <w:tcPr>
            <w:tcW w:w="1003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65DD9" w:rsidRDefault="00665DD9" w:rsidP="0020730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Кваліфікаційні вимоги</w:t>
            </w:r>
          </w:p>
          <w:p w:rsidR="00665DD9" w:rsidRDefault="00665DD9" w:rsidP="0020730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665DD9" w:rsidTr="00665DD9">
        <w:tc>
          <w:tcPr>
            <w:tcW w:w="322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65DD9" w:rsidRDefault="00665DD9" w:rsidP="00207308">
            <w:pPr>
              <w:numPr>
                <w:ilvl w:val="0"/>
                <w:numId w:val="1"/>
              </w:numPr>
              <w:ind w:left="284" w:hanging="284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Освіта </w:t>
            </w:r>
          </w:p>
        </w:tc>
        <w:tc>
          <w:tcPr>
            <w:tcW w:w="6946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665DD9" w:rsidRDefault="00666E1D" w:rsidP="00135112">
            <w:pPr>
              <w:ind w:firstLine="31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 xml:space="preserve">Вища </w:t>
            </w:r>
            <w:r w:rsidRPr="0004557C">
              <w:rPr>
                <w:color w:val="000000"/>
                <w:sz w:val="28"/>
                <w:szCs w:val="28"/>
              </w:rPr>
              <w:t xml:space="preserve">освіта </w:t>
            </w:r>
            <w:r w:rsidR="0004557C" w:rsidRPr="0004557C">
              <w:rPr>
                <w:color w:val="000000"/>
                <w:sz w:val="28"/>
                <w:szCs w:val="28"/>
                <w:shd w:val="clear" w:color="auto" w:fill="FFFFFF"/>
              </w:rPr>
              <w:t>не нижче ступеня бакалавра</w:t>
            </w:r>
            <w:r>
              <w:rPr>
                <w:color w:val="000000"/>
                <w:sz w:val="28"/>
                <w:szCs w:val="28"/>
              </w:rPr>
              <w:t>, молодшого бакалавра</w:t>
            </w:r>
            <w:r w:rsidR="00665DD9">
              <w:rPr>
                <w:sz w:val="28"/>
                <w:szCs w:val="28"/>
                <w:lang w:eastAsia="en-US"/>
              </w:rPr>
              <w:t>.</w:t>
            </w:r>
          </w:p>
          <w:p w:rsidR="00665DD9" w:rsidRDefault="00665DD9" w:rsidP="00207308">
            <w:pPr>
              <w:rPr>
                <w:sz w:val="16"/>
                <w:szCs w:val="16"/>
                <w:lang w:eastAsia="en-US"/>
              </w:rPr>
            </w:pPr>
          </w:p>
        </w:tc>
      </w:tr>
      <w:tr w:rsidR="00665DD9" w:rsidTr="00665DD9">
        <w:tc>
          <w:tcPr>
            <w:tcW w:w="322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65DD9" w:rsidRDefault="00665DD9" w:rsidP="00207308">
            <w:pPr>
              <w:numPr>
                <w:ilvl w:val="0"/>
                <w:numId w:val="1"/>
              </w:numPr>
              <w:ind w:left="284" w:hanging="284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Досвід роботи </w:t>
            </w:r>
          </w:p>
        </w:tc>
        <w:tc>
          <w:tcPr>
            <w:tcW w:w="694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5DD9" w:rsidRDefault="00666E1D" w:rsidP="00135112">
            <w:pPr>
              <w:ind w:firstLine="317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Не обов’язково</w:t>
            </w:r>
            <w:r w:rsidR="00665DD9">
              <w:rPr>
                <w:sz w:val="28"/>
                <w:szCs w:val="28"/>
                <w:lang w:eastAsia="en-US"/>
              </w:rPr>
              <w:t>.</w:t>
            </w:r>
          </w:p>
          <w:p w:rsidR="00665DD9" w:rsidRDefault="00665DD9" w:rsidP="00207308">
            <w:pPr>
              <w:jc w:val="both"/>
              <w:rPr>
                <w:sz w:val="16"/>
                <w:szCs w:val="16"/>
                <w:lang w:val="ru-RU" w:eastAsia="en-US"/>
              </w:rPr>
            </w:pPr>
          </w:p>
        </w:tc>
      </w:tr>
      <w:tr w:rsidR="00665DD9" w:rsidTr="00665DD9">
        <w:tc>
          <w:tcPr>
            <w:tcW w:w="322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65DD9" w:rsidRDefault="00665DD9" w:rsidP="00207308">
            <w:pPr>
              <w:numPr>
                <w:ilvl w:val="0"/>
                <w:numId w:val="1"/>
              </w:numPr>
              <w:ind w:left="284" w:hanging="284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Володіння державною мовою </w:t>
            </w:r>
          </w:p>
          <w:p w:rsidR="00135112" w:rsidRPr="00135112" w:rsidRDefault="00135112" w:rsidP="00135112">
            <w:pPr>
              <w:ind w:left="284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665DD9" w:rsidRDefault="00665DD9" w:rsidP="00135112">
            <w:pPr>
              <w:ind w:firstLine="31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Вільне володіння державною мовою </w:t>
            </w:r>
          </w:p>
        </w:tc>
      </w:tr>
      <w:tr w:rsidR="00665DD9" w:rsidTr="00665DD9">
        <w:trPr>
          <w:gridAfter w:val="1"/>
          <w:wAfter w:w="142" w:type="dxa"/>
        </w:trPr>
        <w:tc>
          <w:tcPr>
            <w:tcW w:w="10031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665DD9" w:rsidRDefault="00665DD9" w:rsidP="0020730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Вимоги до компетентності </w:t>
            </w:r>
          </w:p>
        </w:tc>
      </w:tr>
      <w:tr w:rsidR="00665DD9" w:rsidTr="00665DD9">
        <w:trPr>
          <w:gridAfter w:val="1"/>
          <w:wAfter w:w="142" w:type="dxa"/>
        </w:trPr>
        <w:tc>
          <w:tcPr>
            <w:tcW w:w="36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5DD9" w:rsidRDefault="00665DD9" w:rsidP="00207308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665DD9" w:rsidRDefault="00665DD9" w:rsidP="00207308">
            <w:pPr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eastAsia="en-US"/>
              </w:rPr>
              <w:t>Вимога</w:t>
            </w:r>
          </w:p>
          <w:p w:rsidR="00665DD9" w:rsidRDefault="00665DD9" w:rsidP="00207308">
            <w:pPr>
              <w:jc w:val="center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665DD9" w:rsidRDefault="00665DD9" w:rsidP="00207308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665DD9" w:rsidRDefault="00665DD9" w:rsidP="0020730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Компоненти вимоги</w:t>
            </w:r>
          </w:p>
        </w:tc>
      </w:tr>
      <w:tr w:rsidR="00666E1D" w:rsidTr="00665DD9">
        <w:trPr>
          <w:gridAfter w:val="1"/>
          <w:wAfter w:w="142" w:type="dxa"/>
        </w:trPr>
        <w:tc>
          <w:tcPr>
            <w:tcW w:w="3652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666E1D" w:rsidRDefault="00666E1D" w:rsidP="0020730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   Ділові якості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66E1D" w:rsidRDefault="00666E1D" w:rsidP="001E11F1">
            <w:pPr>
              <w:pStyle w:val="1"/>
              <w:spacing w:after="0" w:line="240" w:lineRule="auto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- вміння працювати з інформацією,</w:t>
            </w:r>
          </w:p>
          <w:p w:rsidR="00666E1D" w:rsidRDefault="00666E1D" w:rsidP="001E11F1">
            <w:pPr>
              <w:pStyle w:val="1"/>
              <w:spacing w:after="0" w:line="240" w:lineRule="auto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- орієнтація на досягнення кінцевих результатів,</w:t>
            </w:r>
          </w:p>
          <w:p w:rsidR="00666E1D" w:rsidRDefault="00666E1D" w:rsidP="001E11F1">
            <w:pPr>
              <w:pStyle w:val="1"/>
              <w:spacing w:after="0" w:line="240" w:lineRule="auto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- вміння надавати пропозиції</w:t>
            </w:r>
          </w:p>
        </w:tc>
      </w:tr>
      <w:tr w:rsidR="00666E1D" w:rsidTr="00665DD9">
        <w:trPr>
          <w:gridAfter w:val="1"/>
          <w:wAfter w:w="142" w:type="dxa"/>
        </w:trPr>
        <w:tc>
          <w:tcPr>
            <w:tcW w:w="36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6E1D" w:rsidRDefault="00666E1D" w:rsidP="0020730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666E1D" w:rsidRDefault="00666E1D" w:rsidP="00207308">
            <w:pPr>
              <w:ind w:firstLine="317"/>
              <w:rPr>
                <w:sz w:val="16"/>
                <w:szCs w:val="16"/>
                <w:lang w:eastAsia="en-US"/>
              </w:rPr>
            </w:pPr>
          </w:p>
        </w:tc>
      </w:tr>
      <w:tr w:rsidR="00666E1D" w:rsidTr="00665DD9">
        <w:trPr>
          <w:gridAfter w:val="1"/>
          <w:wAfter w:w="142" w:type="dxa"/>
        </w:trPr>
        <w:tc>
          <w:tcPr>
            <w:tcW w:w="36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6E1D" w:rsidRDefault="00666E1D" w:rsidP="0020730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2.   Уміння працювати </w:t>
            </w:r>
          </w:p>
          <w:p w:rsidR="00666E1D" w:rsidRDefault="00666E1D" w:rsidP="0020730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з комп’ютером  </w:t>
            </w:r>
          </w:p>
          <w:p w:rsidR="00666E1D" w:rsidRDefault="00666E1D" w:rsidP="00207308">
            <w:pPr>
              <w:rPr>
                <w:sz w:val="28"/>
                <w:szCs w:val="28"/>
                <w:lang w:eastAsia="en-US"/>
              </w:rPr>
            </w:pPr>
          </w:p>
          <w:p w:rsidR="00666E1D" w:rsidRDefault="00666E1D" w:rsidP="00207308">
            <w:pPr>
              <w:rPr>
                <w:sz w:val="28"/>
                <w:szCs w:val="28"/>
                <w:lang w:eastAsia="en-US"/>
              </w:rPr>
            </w:pPr>
          </w:p>
          <w:p w:rsidR="00666E1D" w:rsidRDefault="00666E1D" w:rsidP="00207308">
            <w:pPr>
              <w:rPr>
                <w:sz w:val="28"/>
                <w:szCs w:val="28"/>
                <w:lang w:eastAsia="en-US"/>
              </w:rPr>
            </w:pPr>
          </w:p>
          <w:p w:rsidR="00666E1D" w:rsidRPr="00666E1D" w:rsidRDefault="00666E1D" w:rsidP="0020730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666E1D" w:rsidRDefault="00666E1D" w:rsidP="00666E1D">
            <w:pPr>
              <w:pStyle w:val="1"/>
              <w:spacing w:after="0" w:line="240" w:lineRule="auto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shd w:val="clear" w:color="auto" w:fill="FFFFFF"/>
                <w:lang w:val="uk-UA" w:eastAsia="en-US"/>
              </w:rPr>
              <w:t xml:space="preserve">вміння використовувати комп'ютерне обладнання </w:t>
            </w:r>
            <w:r>
              <w:rPr>
                <w:sz w:val="28"/>
                <w:szCs w:val="28"/>
                <w:shd w:val="clear" w:color="auto" w:fill="FFFFFF"/>
                <w:lang w:val="uk-UA" w:eastAsia="en-US"/>
              </w:rPr>
              <w:br/>
              <w:t xml:space="preserve">та програмне забезпечення, використовувати офісну техніку; </w:t>
            </w:r>
            <w:r>
              <w:rPr>
                <w:sz w:val="28"/>
                <w:szCs w:val="28"/>
                <w:lang w:val="uk-UA" w:eastAsia="en-US"/>
              </w:rPr>
              <w:t xml:space="preserve">досвідчений користувач MS Word, MS </w:t>
            </w:r>
            <w:r>
              <w:rPr>
                <w:color w:val="000000"/>
                <w:sz w:val="28"/>
                <w:szCs w:val="28"/>
                <w:lang w:val="en-US" w:eastAsia="en-US"/>
              </w:rPr>
              <w:t>Excel</w:t>
            </w:r>
            <w:r>
              <w:rPr>
                <w:sz w:val="28"/>
                <w:szCs w:val="28"/>
                <w:lang w:val="uk-UA" w:eastAsia="en-US"/>
              </w:rPr>
              <w:t>, навички роботи з інформаційно-пошуковими системами в мережі Internet</w:t>
            </w:r>
            <w:r>
              <w:rPr>
                <w:color w:val="000000"/>
                <w:sz w:val="28"/>
                <w:szCs w:val="28"/>
                <w:lang w:val="uk-UA" w:eastAsia="en-US"/>
              </w:rPr>
              <w:t>.</w:t>
            </w:r>
          </w:p>
          <w:p w:rsidR="00666E1D" w:rsidRDefault="00666E1D" w:rsidP="00207308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666E1D" w:rsidTr="00665DD9">
        <w:trPr>
          <w:gridAfter w:val="1"/>
          <w:wAfter w:w="142" w:type="dxa"/>
        </w:trPr>
        <w:tc>
          <w:tcPr>
            <w:tcW w:w="3652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666E1D" w:rsidRDefault="00666E1D" w:rsidP="0020730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   Особистісні якості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66E1D" w:rsidRDefault="00666E1D" w:rsidP="00666E1D">
            <w:pPr>
              <w:pStyle w:val="1"/>
              <w:spacing w:after="0" w:line="240" w:lineRule="auto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- відповідальність,</w:t>
            </w:r>
          </w:p>
          <w:p w:rsidR="00666E1D" w:rsidRDefault="00666E1D" w:rsidP="00666E1D">
            <w:pPr>
              <w:pStyle w:val="1"/>
              <w:spacing w:after="0" w:line="240" w:lineRule="auto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- уважність,</w:t>
            </w:r>
          </w:p>
          <w:p w:rsidR="00666E1D" w:rsidRDefault="00666E1D" w:rsidP="00666E1D">
            <w:pPr>
              <w:pStyle w:val="1"/>
              <w:spacing w:after="0" w:line="240" w:lineRule="auto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- організованість,</w:t>
            </w:r>
          </w:p>
          <w:p w:rsidR="00666E1D" w:rsidRDefault="00666E1D" w:rsidP="00666E1D">
            <w:pPr>
              <w:pStyle w:val="1"/>
              <w:spacing w:after="0" w:line="240" w:lineRule="auto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- ініціативність,</w:t>
            </w:r>
          </w:p>
          <w:p w:rsidR="00666E1D" w:rsidRDefault="00666E1D" w:rsidP="00666E1D">
            <w:pPr>
              <w:pStyle w:val="1"/>
              <w:spacing w:after="0" w:line="240" w:lineRule="auto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- комунікабельність,</w:t>
            </w:r>
          </w:p>
          <w:p w:rsidR="00666E1D" w:rsidRDefault="00666E1D" w:rsidP="00666E1D">
            <w:pPr>
              <w:ind w:firstLine="3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 прагнення до самовдосконалення та підвищення фахового рівня</w:t>
            </w:r>
          </w:p>
        </w:tc>
      </w:tr>
      <w:tr w:rsidR="00666E1D" w:rsidTr="00665DD9">
        <w:trPr>
          <w:gridAfter w:val="1"/>
          <w:wAfter w:w="142" w:type="dxa"/>
        </w:trPr>
        <w:tc>
          <w:tcPr>
            <w:tcW w:w="1003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66E1D" w:rsidRPr="00135112" w:rsidRDefault="00666E1D" w:rsidP="00207308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666E1D" w:rsidRDefault="00666E1D" w:rsidP="0020730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Професійні знання</w:t>
            </w:r>
          </w:p>
          <w:p w:rsidR="00666E1D" w:rsidRDefault="00666E1D" w:rsidP="0020730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666E1D" w:rsidTr="00665DD9">
        <w:trPr>
          <w:gridAfter w:val="1"/>
          <w:wAfter w:w="142" w:type="dxa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66E1D" w:rsidRDefault="00666E1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Вимога</w:t>
            </w:r>
          </w:p>
        </w:tc>
        <w:tc>
          <w:tcPr>
            <w:tcW w:w="70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6E1D" w:rsidRDefault="00666E1D" w:rsidP="0020730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Компоненти вимоги</w:t>
            </w:r>
          </w:p>
          <w:p w:rsidR="00666E1D" w:rsidRDefault="00666E1D" w:rsidP="0020730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666E1D" w:rsidTr="00665DD9">
        <w:tc>
          <w:tcPr>
            <w:tcW w:w="351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666E1D" w:rsidRDefault="00666E1D" w:rsidP="00207308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 Знання законодавства</w:t>
            </w:r>
          </w:p>
        </w:tc>
        <w:tc>
          <w:tcPr>
            <w:tcW w:w="66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6E1D" w:rsidRDefault="00666E1D" w:rsidP="00207308">
            <w:pPr>
              <w:ind w:left="-99" w:firstLine="275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Знання: </w:t>
            </w:r>
          </w:p>
          <w:p w:rsidR="00666E1D" w:rsidRDefault="00666E1D" w:rsidP="00207308">
            <w:pPr>
              <w:ind w:left="-99" w:firstLine="275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Конституції України,</w:t>
            </w:r>
          </w:p>
          <w:p w:rsidR="00666E1D" w:rsidRDefault="00666E1D" w:rsidP="00207308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  законів України:</w:t>
            </w:r>
          </w:p>
          <w:p w:rsidR="00666E1D" w:rsidRDefault="00666E1D" w:rsidP="00207308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«Про державну службу»,</w:t>
            </w:r>
          </w:p>
          <w:p w:rsidR="00666E1D" w:rsidRDefault="00666E1D" w:rsidP="00207308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«Про запобігання корупції»</w:t>
            </w:r>
          </w:p>
          <w:p w:rsidR="00666E1D" w:rsidRDefault="00666E1D" w:rsidP="00207308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666E1D" w:rsidTr="00665DD9">
        <w:tc>
          <w:tcPr>
            <w:tcW w:w="351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666E1D" w:rsidRDefault="00666E1D" w:rsidP="0020730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2. Знання спеціального 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6663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666E1D" w:rsidRDefault="00666E1D" w:rsidP="00207308">
            <w:pPr>
              <w:ind w:firstLine="27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Знання:</w:t>
            </w:r>
          </w:p>
          <w:p w:rsidR="00F07902" w:rsidRDefault="00F07902" w:rsidP="00F07902">
            <w:pPr>
              <w:tabs>
                <w:tab w:val="left" w:pos="5939"/>
                <w:tab w:val="left" w:pos="6079"/>
              </w:tabs>
              <w:ind w:right="-2" w:firstLine="18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«Про охорону культурної спадщини»,</w:t>
            </w:r>
          </w:p>
          <w:p w:rsidR="00F07902" w:rsidRDefault="00F07902" w:rsidP="00F07902">
            <w:pPr>
              <w:tabs>
                <w:tab w:val="left" w:pos="5939"/>
                <w:tab w:val="left" w:pos="6079"/>
              </w:tabs>
              <w:ind w:right="-2" w:firstLine="18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«Про охорону археологічної спадщини»,</w:t>
            </w:r>
          </w:p>
          <w:p w:rsidR="00F07902" w:rsidRDefault="00F07902" w:rsidP="00F07902">
            <w:pPr>
              <w:tabs>
                <w:tab w:val="left" w:pos="5939"/>
                <w:tab w:val="left" w:pos="6079"/>
              </w:tabs>
              <w:ind w:right="-2" w:firstLine="18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«Про адміністративні послуги»,</w:t>
            </w:r>
          </w:p>
          <w:p w:rsidR="00F07902" w:rsidRDefault="00F07902" w:rsidP="00F07902">
            <w:pPr>
              <w:ind w:right="295" w:firstLine="188"/>
              <w:jc w:val="both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 xml:space="preserve">«Про столицю України – місто-герой Київ», </w:t>
            </w:r>
          </w:p>
          <w:p w:rsidR="00F07902" w:rsidRDefault="00F07902" w:rsidP="00F07902">
            <w:pPr>
              <w:ind w:right="295" w:firstLine="188"/>
              <w:jc w:val="both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«Про місцеві державні адміністрації»,</w:t>
            </w:r>
          </w:p>
          <w:p w:rsidR="00F07902" w:rsidRDefault="00F07902" w:rsidP="00F07902">
            <w:pPr>
              <w:ind w:right="295" w:firstLine="188"/>
              <w:jc w:val="both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 xml:space="preserve">«Про місцеве самоврядування в Україні»,     </w:t>
            </w:r>
          </w:p>
          <w:p w:rsidR="00F07902" w:rsidRDefault="00F07902" w:rsidP="00F07902">
            <w:pPr>
              <w:tabs>
                <w:tab w:val="left" w:pos="5939"/>
                <w:tab w:val="left" w:pos="6079"/>
              </w:tabs>
              <w:ind w:right="-2" w:firstLine="18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«Про доступ до публічної інформації»,</w:t>
            </w:r>
          </w:p>
          <w:p w:rsidR="00F07902" w:rsidRDefault="00F07902" w:rsidP="00F07902">
            <w:pPr>
              <w:tabs>
                <w:tab w:val="left" w:pos="5939"/>
                <w:tab w:val="left" w:pos="6079"/>
              </w:tabs>
              <w:ind w:right="-2" w:firstLine="18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«Про звернення громадян»,</w:t>
            </w:r>
          </w:p>
          <w:p w:rsidR="00F07902" w:rsidRDefault="00F07902" w:rsidP="00F07902">
            <w:pPr>
              <w:tabs>
                <w:tab w:val="left" w:pos="5939"/>
                <w:tab w:val="left" w:pos="6079"/>
              </w:tabs>
              <w:ind w:right="-2" w:firstLine="18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«Про громадські об'єднання»;</w:t>
            </w:r>
          </w:p>
          <w:p w:rsidR="00F07902" w:rsidRPr="00600B74" w:rsidRDefault="00F07902" w:rsidP="00F07902">
            <w:pPr>
              <w:tabs>
                <w:tab w:val="left" w:pos="5939"/>
                <w:tab w:val="left" w:pos="6079"/>
              </w:tabs>
              <w:ind w:right="-2" w:firstLine="18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Положення про Департамент охорони культурної спадщини виконавчого органу Київської міської ради (Київської міської державної адміністрації), затвердженого розпорядженням виконавчого органу Київської міської ради (Київської міської державної адміністрації) </w:t>
            </w:r>
            <w:r w:rsidRPr="00600B74">
              <w:rPr>
                <w:sz w:val="28"/>
                <w:szCs w:val="28"/>
                <w:lang w:eastAsia="en-US"/>
              </w:rPr>
              <w:t xml:space="preserve">від </w:t>
            </w:r>
            <w:r>
              <w:rPr>
                <w:sz w:val="28"/>
                <w:szCs w:val="28"/>
                <w:lang w:eastAsia="en-US"/>
              </w:rPr>
              <w:t xml:space="preserve">07 березня </w:t>
            </w:r>
            <w:r w:rsidRPr="00600B74">
              <w:rPr>
                <w:sz w:val="28"/>
                <w:szCs w:val="28"/>
                <w:lang w:eastAsia="en-US"/>
              </w:rPr>
              <w:t>201</w:t>
            </w:r>
            <w:r>
              <w:rPr>
                <w:sz w:val="28"/>
                <w:szCs w:val="28"/>
                <w:lang w:eastAsia="en-US"/>
              </w:rPr>
              <w:t>8</w:t>
            </w:r>
            <w:r w:rsidRPr="00600B74">
              <w:rPr>
                <w:sz w:val="28"/>
                <w:szCs w:val="28"/>
                <w:lang w:eastAsia="en-US"/>
              </w:rPr>
              <w:t xml:space="preserve"> року № </w:t>
            </w:r>
            <w:r>
              <w:rPr>
                <w:sz w:val="28"/>
                <w:szCs w:val="28"/>
                <w:lang w:eastAsia="en-US"/>
              </w:rPr>
              <w:t>381</w:t>
            </w:r>
            <w:r w:rsidRPr="00600B74">
              <w:rPr>
                <w:sz w:val="28"/>
                <w:szCs w:val="28"/>
                <w:lang w:eastAsia="en-US"/>
              </w:rPr>
              <w:t xml:space="preserve">; </w:t>
            </w:r>
          </w:p>
          <w:p w:rsidR="00666E1D" w:rsidRDefault="00F07902" w:rsidP="00F07902">
            <w:pPr>
              <w:ind w:firstLine="27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нормативно-правових актів щодо охорони культурної спадщини та археологічної спадщини. </w:t>
            </w:r>
          </w:p>
        </w:tc>
      </w:tr>
    </w:tbl>
    <w:p w:rsidR="00665DD9" w:rsidRDefault="00665DD9" w:rsidP="00665DD9">
      <w:pPr>
        <w:rPr>
          <w:sz w:val="28"/>
          <w:szCs w:val="28"/>
        </w:rPr>
      </w:pPr>
    </w:p>
    <w:p w:rsidR="00F672AD" w:rsidRDefault="00F672AD" w:rsidP="00665DD9">
      <w:pPr>
        <w:rPr>
          <w:sz w:val="28"/>
          <w:szCs w:val="28"/>
        </w:rPr>
      </w:pPr>
    </w:p>
    <w:p w:rsidR="00F672AD" w:rsidRDefault="00F672AD" w:rsidP="00665DD9">
      <w:pPr>
        <w:rPr>
          <w:sz w:val="28"/>
          <w:szCs w:val="28"/>
        </w:rPr>
      </w:pPr>
    </w:p>
    <w:p w:rsidR="00665DD9" w:rsidRDefault="00F672AD" w:rsidP="00665DD9">
      <w:r>
        <w:rPr>
          <w:sz w:val="28"/>
          <w:szCs w:val="28"/>
        </w:rPr>
        <w:t>Директор</w:t>
      </w:r>
      <w:r w:rsidR="00665DD9">
        <w:rPr>
          <w:sz w:val="28"/>
          <w:szCs w:val="28"/>
        </w:rPr>
        <w:tab/>
      </w:r>
      <w:r w:rsidR="00665DD9">
        <w:rPr>
          <w:sz w:val="28"/>
          <w:szCs w:val="28"/>
        </w:rPr>
        <w:tab/>
      </w:r>
      <w:r w:rsidR="00665DD9">
        <w:rPr>
          <w:sz w:val="28"/>
          <w:szCs w:val="28"/>
        </w:rPr>
        <w:tab/>
      </w:r>
      <w:r w:rsidR="00665DD9">
        <w:rPr>
          <w:sz w:val="28"/>
          <w:szCs w:val="28"/>
        </w:rPr>
        <w:tab/>
      </w:r>
      <w:r w:rsidR="00665DD9">
        <w:rPr>
          <w:sz w:val="28"/>
          <w:szCs w:val="28"/>
        </w:rPr>
        <w:tab/>
      </w:r>
      <w:r w:rsidR="00665DD9">
        <w:rPr>
          <w:sz w:val="28"/>
          <w:szCs w:val="28"/>
        </w:rPr>
        <w:tab/>
      </w:r>
      <w:r w:rsidR="00665DD9">
        <w:rPr>
          <w:sz w:val="28"/>
          <w:szCs w:val="28"/>
        </w:rPr>
        <w:tab/>
      </w:r>
      <w:r>
        <w:rPr>
          <w:sz w:val="28"/>
          <w:szCs w:val="28"/>
        </w:rPr>
        <w:tab/>
        <w:t>Олександр НИКОРЯК</w:t>
      </w:r>
      <w:r w:rsidR="00665DD9">
        <w:rPr>
          <w:sz w:val="28"/>
          <w:szCs w:val="28"/>
        </w:rPr>
        <w:tab/>
      </w:r>
    </w:p>
    <w:p w:rsidR="00665DD9" w:rsidRDefault="00665DD9" w:rsidP="00665DD9"/>
    <w:p w:rsidR="00084A56" w:rsidRDefault="00084A56"/>
    <w:sectPr w:rsidR="00084A56" w:rsidSect="0004557C">
      <w:pgSz w:w="11906" w:h="16838"/>
      <w:pgMar w:top="567" w:right="850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Agency FB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A648C"/>
    <w:multiLevelType w:val="hybridMultilevel"/>
    <w:tmpl w:val="2EFE2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6C8F"/>
    <w:rsid w:val="00016A01"/>
    <w:rsid w:val="0004358A"/>
    <w:rsid w:val="0004557C"/>
    <w:rsid w:val="00053F90"/>
    <w:rsid w:val="00084A56"/>
    <w:rsid w:val="00091836"/>
    <w:rsid w:val="000A1C45"/>
    <w:rsid w:val="000E5964"/>
    <w:rsid w:val="000E6A5E"/>
    <w:rsid w:val="0011702A"/>
    <w:rsid w:val="00135112"/>
    <w:rsid w:val="0017238F"/>
    <w:rsid w:val="0018288D"/>
    <w:rsid w:val="00207308"/>
    <w:rsid w:val="002170F7"/>
    <w:rsid w:val="002714D3"/>
    <w:rsid w:val="002C0211"/>
    <w:rsid w:val="00314C47"/>
    <w:rsid w:val="00336079"/>
    <w:rsid w:val="00357307"/>
    <w:rsid w:val="003753F9"/>
    <w:rsid w:val="00394738"/>
    <w:rsid w:val="003B0616"/>
    <w:rsid w:val="003B5B4D"/>
    <w:rsid w:val="003D20D5"/>
    <w:rsid w:val="00444D9F"/>
    <w:rsid w:val="00470920"/>
    <w:rsid w:val="00492C27"/>
    <w:rsid w:val="004C1572"/>
    <w:rsid w:val="004E6D4B"/>
    <w:rsid w:val="00506452"/>
    <w:rsid w:val="00540B00"/>
    <w:rsid w:val="00592841"/>
    <w:rsid w:val="005D198F"/>
    <w:rsid w:val="005D6ABE"/>
    <w:rsid w:val="00600B74"/>
    <w:rsid w:val="0061522D"/>
    <w:rsid w:val="00623C39"/>
    <w:rsid w:val="00642CA1"/>
    <w:rsid w:val="006603D8"/>
    <w:rsid w:val="00665DD9"/>
    <w:rsid w:val="00666E1D"/>
    <w:rsid w:val="006C4E4B"/>
    <w:rsid w:val="006C5323"/>
    <w:rsid w:val="006D1AE5"/>
    <w:rsid w:val="006D1FA0"/>
    <w:rsid w:val="00712C4E"/>
    <w:rsid w:val="00730CD6"/>
    <w:rsid w:val="007B2690"/>
    <w:rsid w:val="007C2427"/>
    <w:rsid w:val="007F042A"/>
    <w:rsid w:val="00807595"/>
    <w:rsid w:val="00843899"/>
    <w:rsid w:val="008628AC"/>
    <w:rsid w:val="00894C03"/>
    <w:rsid w:val="00897C25"/>
    <w:rsid w:val="008A4C37"/>
    <w:rsid w:val="008D4291"/>
    <w:rsid w:val="0093613A"/>
    <w:rsid w:val="00961750"/>
    <w:rsid w:val="009675DF"/>
    <w:rsid w:val="00982494"/>
    <w:rsid w:val="00991AB3"/>
    <w:rsid w:val="009B3EA4"/>
    <w:rsid w:val="009B64F9"/>
    <w:rsid w:val="00A13F7E"/>
    <w:rsid w:val="00A6179F"/>
    <w:rsid w:val="00AA2D0E"/>
    <w:rsid w:val="00AD0203"/>
    <w:rsid w:val="00C36786"/>
    <w:rsid w:val="00C419DF"/>
    <w:rsid w:val="00D22927"/>
    <w:rsid w:val="00D5784C"/>
    <w:rsid w:val="00DB61B6"/>
    <w:rsid w:val="00DD55C8"/>
    <w:rsid w:val="00DD6197"/>
    <w:rsid w:val="00DE6990"/>
    <w:rsid w:val="00EE1632"/>
    <w:rsid w:val="00EE5D80"/>
    <w:rsid w:val="00F07902"/>
    <w:rsid w:val="00F504A8"/>
    <w:rsid w:val="00F672AD"/>
    <w:rsid w:val="00F86C8F"/>
    <w:rsid w:val="00FC09B2"/>
    <w:rsid w:val="00FF38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D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665DD9"/>
    <w:rPr>
      <w:color w:val="0000FF"/>
      <w:u w:val="single"/>
    </w:rPr>
  </w:style>
  <w:style w:type="paragraph" w:styleId="a4">
    <w:name w:val="Normal (Web)"/>
    <w:basedOn w:val="a"/>
    <w:unhideWhenUsed/>
    <w:rsid w:val="00665DD9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a5">
    <w:name w:val="Нормальний текст"/>
    <w:basedOn w:val="a"/>
    <w:uiPriority w:val="99"/>
    <w:semiHidden/>
    <w:rsid w:val="00665DD9"/>
    <w:pPr>
      <w:spacing w:before="120"/>
      <w:ind w:firstLine="567"/>
    </w:pPr>
    <w:rPr>
      <w:rFonts w:ascii="Antiqua" w:hAnsi="Antiqua"/>
      <w:sz w:val="26"/>
    </w:rPr>
  </w:style>
  <w:style w:type="paragraph" w:customStyle="1" w:styleId="rvps2">
    <w:name w:val="rvps2"/>
    <w:basedOn w:val="a"/>
    <w:rsid w:val="00C419DF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897C2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7C25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8">
    <w:name w:val="List Paragraph"/>
    <w:basedOn w:val="a"/>
    <w:uiPriority w:val="34"/>
    <w:qFormat/>
    <w:rsid w:val="00730CD6"/>
    <w:pPr>
      <w:ind w:left="720"/>
      <w:contextualSpacing/>
    </w:pPr>
    <w:rPr>
      <w:sz w:val="24"/>
      <w:szCs w:val="24"/>
      <w:lang w:eastAsia="uk-UA"/>
    </w:rPr>
  </w:style>
  <w:style w:type="paragraph" w:customStyle="1" w:styleId="1">
    <w:name w:val="Обычный (веб)1"/>
    <w:basedOn w:val="a"/>
    <w:rsid w:val="00666E1D"/>
    <w:pPr>
      <w:suppressAutoHyphens/>
      <w:overflowPunct w:val="0"/>
      <w:spacing w:after="280" w:line="276" w:lineRule="auto"/>
    </w:pPr>
    <w:rPr>
      <w:color w:val="00000A"/>
      <w:kern w:val="2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D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65DD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65DD9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a5">
    <w:name w:val="Нормальний текст"/>
    <w:basedOn w:val="a"/>
    <w:uiPriority w:val="99"/>
    <w:semiHidden/>
    <w:rsid w:val="00665DD9"/>
    <w:pPr>
      <w:spacing w:before="120"/>
      <w:ind w:firstLine="567"/>
    </w:pPr>
    <w:rPr>
      <w:rFonts w:ascii="Antiqua" w:hAnsi="Antiqua"/>
      <w:sz w:val="26"/>
    </w:rPr>
  </w:style>
  <w:style w:type="paragraph" w:customStyle="1" w:styleId="rvps2">
    <w:name w:val="rvps2"/>
    <w:basedOn w:val="a"/>
    <w:rsid w:val="00C419DF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897C2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7C25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oks.kmda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934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Ira</cp:lastModifiedBy>
  <cp:revision>28</cp:revision>
  <cp:lastPrinted>2019-02-20T09:18:00Z</cp:lastPrinted>
  <dcterms:created xsi:type="dcterms:W3CDTF">2018-11-19T14:26:00Z</dcterms:created>
  <dcterms:modified xsi:type="dcterms:W3CDTF">2019-02-20T09:41:00Z</dcterms:modified>
</cp:coreProperties>
</file>