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9" w:rsidRDefault="00665DD9" w:rsidP="00665DD9">
      <w:pPr>
        <w:ind w:left="5245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665DD9" w:rsidRDefault="00665DD9" w:rsidP="00665DD9">
      <w:pPr>
        <w:ind w:left="5245"/>
        <w:rPr>
          <w:sz w:val="28"/>
          <w:szCs w:val="28"/>
        </w:rPr>
      </w:pPr>
      <w:r>
        <w:rPr>
          <w:sz w:val="28"/>
          <w:szCs w:val="28"/>
        </w:rPr>
        <w:t>Розпорядження Київського міського голови</w:t>
      </w:r>
    </w:p>
    <w:p w:rsidR="00665DD9" w:rsidRPr="0017238F" w:rsidRDefault="0017238F" w:rsidP="00665DD9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від 02 листопада 2018року</w:t>
      </w:r>
      <w:r w:rsidR="00665DD9" w:rsidRPr="00642CA1">
        <w:rPr>
          <w:sz w:val="28"/>
          <w:szCs w:val="28"/>
        </w:rPr>
        <w:t>_</w:t>
      </w:r>
      <w:r w:rsidR="00665DD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753</w:t>
      </w:r>
      <w:bookmarkStart w:id="0" w:name="_GoBack"/>
      <w:bookmarkEnd w:id="0"/>
    </w:p>
    <w:p w:rsidR="00665DD9" w:rsidRDefault="00665DD9" w:rsidP="00665DD9">
      <w:pPr>
        <w:ind w:left="5954"/>
        <w:rPr>
          <w:sz w:val="28"/>
          <w:szCs w:val="28"/>
        </w:rPr>
      </w:pPr>
    </w:p>
    <w:p w:rsidR="00665DD9" w:rsidRDefault="00665DD9" w:rsidP="00665DD9">
      <w:pPr>
        <w:ind w:left="5954"/>
        <w:rPr>
          <w:rFonts w:eastAsia="Calibri"/>
          <w:sz w:val="16"/>
          <w:szCs w:val="16"/>
        </w:rPr>
      </w:pPr>
    </w:p>
    <w:p w:rsidR="00642CA1" w:rsidRDefault="00642CA1" w:rsidP="00665DD9">
      <w:pPr>
        <w:jc w:val="center"/>
        <w:rPr>
          <w:rFonts w:eastAsia="Calibri"/>
          <w:sz w:val="28"/>
          <w:szCs w:val="28"/>
        </w:rPr>
      </w:pPr>
    </w:p>
    <w:p w:rsidR="00665DD9" w:rsidRDefault="00665DD9" w:rsidP="00665DD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УМОВИ</w:t>
      </w:r>
    </w:p>
    <w:p w:rsidR="00665DD9" w:rsidRDefault="00665DD9" w:rsidP="00665DD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проведення  конкурсу на зайняття вакантної посади директора Департаменту </w:t>
      </w:r>
      <w:r w:rsidR="00D22927">
        <w:rPr>
          <w:bCs/>
          <w:sz w:val="28"/>
          <w:szCs w:val="28"/>
        </w:rPr>
        <w:t>промисловості та розвитку підприємництва</w:t>
      </w:r>
      <w:r>
        <w:rPr>
          <w:bCs/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</w:p>
    <w:p w:rsidR="00665DD9" w:rsidRDefault="00665DD9" w:rsidP="00665DD9">
      <w:pPr>
        <w:jc w:val="center"/>
        <w:rPr>
          <w:rFonts w:eastAsia="Calibri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43"/>
        <w:gridCol w:w="284"/>
        <w:gridCol w:w="283"/>
        <w:gridCol w:w="142"/>
        <w:gridCol w:w="6379"/>
        <w:gridCol w:w="142"/>
      </w:tblGrid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>
            <w:pPr>
              <w:tabs>
                <w:tab w:val="left" w:pos="127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Загальні умови</w:t>
            </w:r>
          </w:p>
          <w:p w:rsidR="00665DD9" w:rsidRDefault="00665DD9">
            <w:pPr>
              <w:tabs>
                <w:tab w:val="left" w:pos="1275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Посадові обов’язки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712C4E">
            <w:pPr>
              <w:ind w:right="-2"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Директор Департаменту </w:t>
            </w:r>
            <w:r w:rsidR="00D22927">
              <w:rPr>
                <w:bCs/>
                <w:sz w:val="28"/>
                <w:szCs w:val="28"/>
                <w:lang w:eastAsia="en-US"/>
              </w:rPr>
              <w:t>промисловості та розвитку підприємництва</w:t>
            </w:r>
            <w:r>
              <w:rPr>
                <w:bCs/>
                <w:sz w:val="28"/>
                <w:szCs w:val="28"/>
                <w:lang w:eastAsia="en-US"/>
              </w:rPr>
              <w:t xml:space="preserve"> виконавчого органу Київської міської ради (Київської міської державної адміністрації) </w:t>
            </w:r>
            <w:r w:rsidR="00642CA1">
              <w:rPr>
                <w:bCs/>
                <w:sz w:val="28"/>
                <w:szCs w:val="28"/>
                <w:lang w:eastAsia="en-US"/>
              </w:rPr>
              <w:t>очолює</w:t>
            </w:r>
            <w:r w:rsidR="00642CA1">
              <w:rPr>
                <w:sz w:val="28"/>
                <w:szCs w:val="28"/>
                <w:lang w:eastAsia="en-US"/>
              </w:rPr>
              <w:t xml:space="preserve"> Департамент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6179F">
              <w:rPr>
                <w:sz w:val="28"/>
                <w:szCs w:val="28"/>
                <w:lang w:eastAsia="en-US"/>
              </w:rPr>
              <w:t>промисловості та розвитку підприємництва</w:t>
            </w:r>
            <w:r>
              <w:rPr>
                <w:sz w:val="28"/>
                <w:szCs w:val="28"/>
                <w:lang w:eastAsia="en-US"/>
              </w:rPr>
              <w:t xml:space="preserve"> виконавчого органу Київської міської ради (Київської міської державної адміністрації) (далі – Департамент), до основних завдань якого належить:</w:t>
            </w:r>
          </w:p>
          <w:p w:rsidR="00665DD9" w:rsidRDefault="00665DD9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забезпечення реалізації </w:t>
            </w:r>
            <w:r w:rsidR="00712C4E">
              <w:rPr>
                <w:sz w:val="28"/>
                <w:szCs w:val="28"/>
                <w:lang w:eastAsia="en-US"/>
              </w:rPr>
              <w:t xml:space="preserve">на території міста </w:t>
            </w:r>
            <w:r>
              <w:rPr>
                <w:sz w:val="28"/>
                <w:szCs w:val="28"/>
                <w:lang w:eastAsia="en-US"/>
              </w:rPr>
              <w:t>Києва</w:t>
            </w:r>
            <w:r w:rsidR="00712C4E">
              <w:rPr>
                <w:sz w:val="28"/>
                <w:szCs w:val="28"/>
                <w:lang w:eastAsia="en-US"/>
              </w:rPr>
              <w:t>:</w:t>
            </w:r>
          </w:p>
          <w:p w:rsidR="00712C4E" w:rsidRDefault="00712C4E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</w:t>
            </w:r>
            <w:r w:rsidR="009675DF">
              <w:rPr>
                <w:sz w:val="28"/>
                <w:szCs w:val="28"/>
                <w:lang w:eastAsia="en-US"/>
              </w:rPr>
              <w:t xml:space="preserve"> політики економічного розвитку,</w:t>
            </w:r>
          </w:p>
          <w:p w:rsidR="00712C4E" w:rsidRDefault="009675DF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 промислової політики,</w:t>
            </w:r>
          </w:p>
          <w:p w:rsidR="00712C4E" w:rsidRDefault="009675DF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 регіональної політики,</w:t>
            </w:r>
          </w:p>
          <w:p w:rsidR="007B2690" w:rsidRDefault="007B2690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державної політики у сфері інвестиційної діяльності та </w:t>
            </w:r>
            <w:r w:rsidR="009675DF">
              <w:rPr>
                <w:sz w:val="28"/>
                <w:szCs w:val="28"/>
                <w:lang w:eastAsia="en-US"/>
              </w:rPr>
              <w:t>державно-приватного партнерства,</w:t>
            </w:r>
          </w:p>
          <w:p w:rsidR="007B2690" w:rsidRDefault="007B2690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 політики з питань розвитку підприємництва, держа</w:t>
            </w:r>
            <w:r w:rsidR="009675DF">
              <w:rPr>
                <w:sz w:val="28"/>
                <w:szCs w:val="28"/>
                <w:lang w:eastAsia="en-US"/>
              </w:rPr>
              <w:t>вної регуляторної політики,</w:t>
            </w:r>
          </w:p>
          <w:p w:rsidR="007B2690" w:rsidRDefault="007B2690" w:rsidP="00712C4E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 політики у сфері торгівлі та побутових послуг, в тому числі сприяння забезпеченню міста продовольчими ресурсами, організації оптової, роздрібної торгівлі</w:t>
            </w:r>
            <w:r w:rsidR="009675DF">
              <w:rPr>
                <w:sz w:val="28"/>
                <w:szCs w:val="28"/>
                <w:lang w:eastAsia="en-US"/>
              </w:rPr>
              <w:t>, ресторанного господарства,</w:t>
            </w:r>
          </w:p>
          <w:p w:rsidR="00665DD9" w:rsidRDefault="007B2690" w:rsidP="007B2690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державної політики у сфері управління об’єктами державної власності, в тому числі корпоративними правами держави.</w:t>
            </w:r>
          </w:p>
          <w:p w:rsidR="00665DD9" w:rsidRDefault="00665DD9" w:rsidP="00207308">
            <w:pPr>
              <w:tabs>
                <w:tab w:val="left" w:pos="6033"/>
              </w:tabs>
              <w:ind w:right="-2"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Департаменту безпосередньо:</w:t>
            </w:r>
          </w:p>
          <w:p w:rsidR="00665DD9" w:rsidRDefault="00EE5D80" w:rsidP="00EE5D80">
            <w:pPr>
              <w:tabs>
                <w:tab w:val="left" w:pos="6033"/>
              </w:tabs>
              <w:ind w:right="-2"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здійснює керівництво діяльністю Департаменту, </w:t>
            </w:r>
            <w:r w:rsidR="00665DD9">
              <w:rPr>
                <w:sz w:val="28"/>
                <w:szCs w:val="28"/>
                <w:lang w:eastAsia="en-US"/>
              </w:rPr>
              <w:t>несе персональну відповідальність перед Київським міським головою за виконання покладених на Департамент завдань;</w:t>
            </w:r>
          </w:p>
          <w:p w:rsidR="00EE5D80" w:rsidRDefault="00EE5D80" w:rsidP="00EE5D80">
            <w:pPr>
              <w:tabs>
                <w:tab w:val="left" w:pos="6033"/>
              </w:tabs>
              <w:ind w:right="-2" w:firstLine="36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затверджує положення про підрозділи Департаменту, розподіляє обов’язки між заступниками директора Департаменту, керівниками підрозділів та визначає ступінь їх відповідальності;</w:t>
            </w:r>
          </w:p>
          <w:p w:rsidR="00665DD9" w:rsidRDefault="00665DD9" w:rsidP="00EE5D80">
            <w:pPr>
              <w:tabs>
                <w:tab w:val="left" w:pos="6033"/>
              </w:tabs>
              <w:ind w:right="-2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затверджує посадові інструкції працівників Департаменту;</w:t>
            </w:r>
          </w:p>
          <w:p w:rsidR="00EE5D80" w:rsidRDefault="00EE5D80" w:rsidP="00EE5D80">
            <w:pPr>
              <w:tabs>
                <w:tab w:val="left" w:pos="6033"/>
              </w:tabs>
              <w:ind w:right="-2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подає на затвердження в установленому порядку  </w:t>
            </w:r>
            <w:r>
              <w:rPr>
                <w:sz w:val="28"/>
                <w:szCs w:val="28"/>
                <w:lang w:eastAsia="en-US"/>
              </w:rPr>
              <w:lastRenderedPageBreak/>
              <w:t>штатний розпис працівників Департаменту в межах граничної чисельності і фонду оплати праці його працівників;</w:t>
            </w:r>
          </w:p>
          <w:p w:rsidR="00665DD9" w:rsidRDefault="00665DD9" w:rsidP="00EE5D80">
            <w:pPr>
              <w:tabs>
                <w:tab w:val="left" w:pos="6033"/>
              </w:tabs>
              <w:ind w:right="-2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розпоряджається коштами в межах затвердженого в установленому порядку кошторису Департаменту, несе персональну відповідальність за їх цільове використання;</w:t>
            </w:r>
          </w:p>
          <w:p w:rsidR="00665DD9" w:rsidRDefault="00897C25" w:rsidP="00EE5D80">
            <w:pPr>
              <w:tabs>
                <w:tab w:val="left" w:pos="6033"/>
              </w:tabs>
              <w:ind w:right="-2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видає у межах своєї компетенції</w:t>
            </w:r>
            <w:r w:rsidR="00665DD9">
              <w:rPr>
                <w:sz w:val="28"/>
                <w:szCs w:val="28"/>
                <w:lang w:eastAsia="en-US"/>
              </w:rPr>
              <w:t xml:space="preserve"> накази, організовує і контролює їх виконання;</w:t>
            </w:r>
          </w:p>
          <w:p w:rsidR="006C5323" w:rsidRPr="00444D9F" w:rsidRDefault="006C5323" w:rsidP="00642CA1">
            <w:pPr>
              <w:ind w:left="34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897C25">
              <w:rPr>
                <w:sz w:val="28"/>
                <w:szCs w:val="28"/>
              </w:rPr>
              <w:t>ризначає на посади та</w:t>
            </w:r>
            <w:r w:rsidRPr="008C1427">
              <w:rPr>
                <w:sz w:val="28"/>
                <w:szCs w:val="28"/>
              </w:rPr>
              <w:t xml:space="preserve"> звільняє з посад працівників </w:t>
            </w:r>
            <w:r>
              <w:rPr>
                <w:sz w:val="28"/>
                <w:szCs w:val="28"/>
              </w:rPr>
              <w:t>Департаменту</w:t>
            </w:r>
            <w:r w:rsidRPr="008C1427">
              <w:rPr>
                <w:sz w:val="28"/>
                <w:szCs w:val="28"/>
              </w:rPr>
              <w:t>;</w:t>
            </w:r>
          </w:p>
          <w:p w:rsidR="00444D9F" w:rsidRDefault="00642CA1" w:rsidP="00642CA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4D9F">
              <w:rPr>
                <w:sz w:val="28"/>
                <w:szCs w:val="28"/>
              </w:rPr>
              <w:t>ідповідає за підготовку, своєчасне погодження та укладання контрактів з керівниками підприємств</w:t>
            </w:r>
            <w:r>
              <w:rPr>
                <w:sz w:val="28"/>
                <w:szCs w:val="28"/>
              </w:rPr>
              <w:t>, установ, організацій, підпорядкованих Департаменту. З</w:t>
            </w:r>
            <w:r w:rsidR="00444D9F">
              <w:rPr>
                <w:sz w:val="28"/>
                <w:szCs w:val="28"/>
              </w:rPr>
              <w:t>дійснює аналіз виконання умов та показників укладених контрактів</w:t>
            </w:r>
            <w:r w:rsidR="00394738">
              <w:rPr>
                <w:sz w:val="28"/>
                <w:szCs w:val="28"/>
              </w:rPr>
              <w:t>, з</w:t>
            </w:r>
            <w:r w:rsidR="00444D9F">
              <w:rPr>
                <w:sz w:val="28"/>
                <w:szCs w:val="28"/>
              </w:rPr>
              <w:t>абезпеч</w:t>
            </w:r>
            <w:r>
              <w:rPr>
                <w:sz w:val="28"/>
                <w:szCs w:val="28"/>
              </w:rPr>
              <w:t>ує</w:t>
            </w:r>
            <w:r w:rsidR="00444D9F">
              <w:rPr>
                <w:sz w:val="28"/>
                <w:szCs w:val="28"/>
              </w:rPr>
              <w:t xml:space="preserve"> своєчасн</w:t>
            </w:r>
            <w:r>
              <w:rPr>
                <w:sz w:val="28"/>
                <w:szCs w:val="28"/>
              </w:rPr>
              <w:t>е</w:t>
            </w:r>
            <w:r w:rsidR="00444D9F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</w:t>
            </w:r>
            <w:r w:rsidR="00444D9F">
              <w:rPr>
                <w:sz w:val="28"/>
                <w:szCs w:val="28"/>
              </w:rPr>
              <w:t>одовження та розірвання контрактів;</w:t>
            </w:r>
          </w:p>
          <w:p w:rsidR="00665DD9" w:rsidRDefault="00665DD9" w:rsidP="00897C25">
            <w:pPr>
              <w:tabs>
                <w:tab w:val="left" w:pos="6033"/>
              </w:tabs>
              <w:ind w:right="-2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здійснює інші повноваження, </w:t>
            </w:r>
            <w:r w:rsidR="00897C25">
              <w:rPr>
                <w:sz w:val="28"/>
                <w:szCs w:val="28"/>
                <w:lang w:eastAsia="en-US"/>
              </w:rPr>
              <w:t>передбачені</w:t>
            </w:r>
            <w:r>
              <w:rPr>
                <w:sz w:val="28"/>
                <w:szCs w:val="28"/>
                <w:lang w:eastAsia="en-US"/>
              </w:rPr>
              <w:t xml:space="preserve"> законодавством України.</w:t>
            </w:r>
          </w:p>
          <w:p w:rsidR="00897C25" w:rsidRDefault="00897C25" w:rsidP="00897C25">
            <w:pPr>
              <w:tabs>
                <w:tab w:val="left" w:pos="6033"/>
              </w:tabs>
              <w:ind w:right="-2" w:firstLine="3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посадовий оклад  -  10400,00 гривень, відповідно до Схеми посадових окладів на посадах державної служби за групами оплати праці з урахуванням юрисдикції державних органів у 2018 році, затвердженої постановою Кабінету Міністрів України від 18 січня 2017 № 15 (в редакції постанови Кабінету Міністрів України від 25 січня 2018 № 24);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надбавки, доплати та премії - передбачені Законом України «Про державну службу».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Перелік документів, необхідних для участі в конкурсі, та строк їх подання </w:t>
            </w:r>
          </w:p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Особа, яка бажає взяти участь у конкурсі, подає (особисто або поштою) конкурсній комісії такі документи: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>
              <w:rPr>
                <w:sz w:val="28"/>
                <w:szCs w:val="28"/>
                <w:lang w:eastAsia="en-US"/>
              </w:rPr>
              <w:tab/>
              <w:t>копію паспорта громадянина України;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>
              <w:rPr>
                <w:sz w:val="28"/>
                <w:szCs w:val="28"/>
                <w:lang w:eastAsia="en-US"/>
              </w:rPr>
              <w:tab/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>
              <w:rPr>
                <w:sz w:val="28"/>
                <w:szCs w:val="28"/>
                <w:lang w:eastAsia="en-US"/>
              </w:rPr>
              <w:tab/>
              <w:t xml:space="preserve">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</w:t>
            </w:r>
            <w:r>
              <w:rPr>
                <w:sz w:val="28"/>
                <w:szCs w:val="28"/>
                <w:lang w:eastAsia="en-US"/>
              </w:rPr>
              <w:lastRenderedPageBreak/>
              <w:t>відповідно до зазначеного Закону;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  <w:r>
              <w:rPr>
                <w:sz w:val="28"/>
                <w:szCs w:val="28"/>
                <w:lang w:eastAsia="en-US"/>
              </w:rPr>
              <w:tab/>
              <w:t>копію (копії) документа (документів) про освіту;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665DD9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</w:t>
            </w:r>
            <w:r>
              <w:rPr>
                <w:sz w:val="28"/>
                <w:szCs w:val="28"/>
                <w:lang w:eastAsia="en-US"/>
              </w:rPr>
              <w:tab/>
              <w:t>заповнену особову картку встановленого зразка;</w:t>
            </w:r>
          </w:p>
          <w:p w:rsidR="00665DD9" w:rsidRPr="00C419DF" w:rsidRDefault="00665DD9" w:rsidP="00207308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7)</w:t>
            </w:r>
            <w:r>
              <w:rPr>
                <w:sz w:val="28"/>
                <w:szCs w:val="28"/>
                <w:lang w:eastAsia="en-US"/>
              </w:rPr>
              <w:tab/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</w:t>
            </w:r>
            <w:r w:rsidR="00C419DF">
              <w:rPr>
                <w:sz w:val="28"/>
                <w:szCs w:val="28"/>
                <w:lang w:eastAsia="en-US"/>
              </w:rPr>
              <w:t xml:space="preserve"> на офіційному веб-сайті НАЗК)</w:t>
            </w:r>
            <w:r w:rsidR="00C419DF">
              <w:rPr>
                <w:sz w:val="28"/>
                <w:szCs w:val="28"/>
                <w:lang w:val="ru-RU" w:eastAsia="en-US"/>
              </w:rPr>
              <w:t>;</w:t>
            </w:r>
          </w:p>
          <w:p w:rsidR="00C419DF" w:rsidRPr="00B375D7" w:rsidRDefault="00C419DF" w:rsidP="00C419DF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B375D7">
              <w:rPr>
                <w:sz w:val="28"/>
                <w:szCs w:val="28"/>
                <w:lang w:val="uk-UA"/>
              </w:rPr>
              <w:t>8) заяву</w:t>
            </w:r>
            <w:r w:rsidRPr="00B375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665DD9" w:rsidRDefault="00665DD9" w:rsidP="002073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665DD9" w:rsidRDefault="00665DD9" w:rsidP="002073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Особа з інвалідністю, яка бажає взяти участь у конкурсі та потребує у зв'язку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665DD9" w:rsidRDefault="00665DD9" w:rsidP="003573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Документи приймаються до 1</w:t>
            </w:r>
            <w:r>
              <w:rPr>
                <w:sz w:val="28"/>
                <w:szCs w:val="28"/>
                <w:lang w:val="ru-RU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7307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л</w:t>
            </w:r>
            <w:r w:rsidR="00357307">
              <w:rPr>
                <w:sz w:val="28"/>
                <w:szCs w:val="28"/>
                <w:lang w:eastAsia="en-US"/>
              </w:rPr>
              <w:t>истопада</w:t>
            </w:r>
            <w:r>
              <w:rPr>
                <w:sz w:val="28"/>
                <w:szCs w:val="28"/>
                <w:lang w:eastAsia="en-US"/>
              </w:rPr>
              <w:t xml:space="preserve"> 2018 року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Місце, час та дата проведення конкурсу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Київ, вул. Хрещатик, 36, </w:t>
            </w:r>
            <w:r w:rsidR="00357307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7307">
              <w:rPr>
                <w:sz w:val="28"/>
                <w:szCs w:val="28"/>
                <w:lang w:eastAsia="en-US"/>
              </w:rPr>
              <w:t>листопада 2018 року о 10.3</w:t>
            </w:r>
            <w:r>
              <w:rPr>
                <w:sz w:val="28"/>
                <w:szCs w:val="28"/>
                <w:lang w:eastAsia="en-US"/>
              </w:rPr>
              <w:t>0.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3573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 та по батькові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Пухальська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Анатоліївна, +38 (044) 202-74-69, </w:t>
            </w:r>
            <w:hyperlink r:id="rId6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kadry</w:t>
              </w:r>
              <w:r>
                <w:rPr>
                  <w:rStyle w:val="a3"/>
                  <w:sz w:val="28"/>
                  <w:szCs w:val="28"/>
                  <w:lang w:val="ru-RU" w:eastAsia="en-US"/>
                </w:rPr>
                <w:t>@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kma</w:t>
              </w:r>
              <w:r>
                <w:rPr>
                  <w:rStyle w:val="a3"/>
                  <w:sz w:val="28"/>
                  <w:szCs w:val="28"/>
                  <w:lang w:val="ru-RU"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gov</w:t>
              </w:r>
              <w:r>
                <w:rPr>
                  <w:rStyle w:val="a3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Кваліфікаційні вимоги</w:t>
            </w:r>
          </w:p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Освіта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Присвоєно ступінь вищої світи не нижче магістра.</w:t>
            </w:r>
          </w:p>
          <w:p w:rsidR="00665DD9" w:rsidRDefault="00665DD9" w:rsidP="00207308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65DD9" w:rsidTr="00665DD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665DD9" w:rsidRDefault="00665DD9" w:rsidP="00207308">
            <w:pPr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65DD9" w:rsidTr="00665DD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Володіння державною мовою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Вільне володіння державною мовою 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Вимоги до компетентності 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5DD9" w:rsidRDefault="00665DD9" w:rsidP="0020730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  <w:p w:rsidR="00665DD9" w:rsidRDefault="00665DD9" w:rsidP="0020730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 Ділові якості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організаторські здібності;</w:t>
            </w:r>
          </w:p>
          <w:p w:rsidR="00665DD9" w:rsidRDefault="00665DD9" w:rsidP="00207308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навички управління;</w:t>
            </w:r>
          </w:p>
          <w:p w:rsidR="00665DD9" w:rsidRDefault="00665DD9" w:rsidP="00207308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навички контрою;</w:t>
            </w:r>
          </w:p>
          <w:p w:rsidR="00665DD9" w:rsidRDefault="00665DD9" w:rsidP="00207308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лідерські якості;</w:t>
            </w:r>
          </w:p>
          <w:p w:rsidR="00665DD9" w:rsidRDefault="00665DD9" w:rsidP="00207308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вміння визначати пріоритети;</w:t>
            </w:r>
          </w:p>
          <w:p w:rsidR="00665DD9" w:rsidRDefault="00665DD9" w:rsidP="00207308">
            <w:pPr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вміння аргументовано доводити власну точку зору;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ind w:firstLine="317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 Уміння працювати </w:t>
            </w:r>
          </w:p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з комп’ютером  </w:t>
            </w:r>
          </w:p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</w:p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досвідчений користувач Microsoft Of</w:t>
            </w:r>
            <w:r w:rsidR="00357307">
              <w:rPr>
                <w:sz w:val="28"/>
                <w:szCs w:val="28"/>
                <w:lang w:eastAsia="en-US"/>
              </w:rPr>
              <w:t xml:space="preserve">fice (Word, Excel, </w:t>
            </w:r>
            <w:proofErr w:type="spellStart"/>
            <w:r w:rsidR="00357307">
              <w:rPr>
                <w:sz w:val="28"/>
                <w:szCs w:val="28"/>
                <w:lang w:eastAsia="en-US"/>
              </w:rPr>
              <w:t>Power</w:t>
            </w:r>
            <w:proofErr w:type="spellEnd"/>
            <w:r w:rsidR="0035730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57307">
              <w:rPr>
                <w:sz w:val="28"/>
                <w:szCs w:val="28"/>
                <w:lang w:eastAsia="en-US"/>
              </w:rPr>
              <w:t>Point</w:t>
            </w:r>
            <w:proofErr w:type="spellEnd"/>
            <w:r w:rsidR="00357307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,  навички роботи з інформаційно-пошукови</w:t>
            </w:r>
            <w:r w:rsidR="00357307">
              <w:rPr>
                <w:sz w:val="28"/>
                <w:szCs w:val="28"/>
                <w:lang w:eastAsia="en-US"/>
              </w:rPr>
              <w:t xml:space="preserve">ми системами в мережі Інтернет, </w:t>
            </w:r>
            <w:r>
              <w:rPr>
                <w:sz w:val="28"/>
                <w:szCs w:val="28"/>
                <w:lang w:eastAsia="en-US"/>
              </w:rPr>
              <w:t>знання сучасних технологій з електронного урядування, вільне користування інформаційно-телекомунікаційними технологіями.</w:t>
            </w:r>
          </w:p>
          <w:p w:rsidR="00665DD9" w:rsidRDefault="00665DD9" w:rsidP="0020730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  Особистісні якості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відповідальність;</w:t>
            </w:r>
          </w:p>
          <w:p w:rsidR="00665DD9" w:rsidRDefault="00665DD9" w:rsidP="00207308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ініціативність;</w:t>
            </w:r>
          </w:p>
          <w:p w:rsidR="00665DD9" w:rsidRDefault="00665DD9" w:rsidP="00207308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комунікабельність;</w:t>
            </w:r>
          </w:p>
          <w:p w:rsidR="00665DD9" w:rsidRDefault="00665DD9" w:rsidP="00207308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дисциплінованість;</w:t>
            </w:r>
          </w:p>
          <w:p w:rsidR="00665DD9" w:rsidRDefault="00665DD9" w:rsidP="00207308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контроль емоцій</w:t>
            </w:r>
          </w:p>
        </w:tc>
      </w:tr>
      <w:tr w:rsidR="00665DD9" w:rsidTr="00665DD9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Професійні знання</w:t>
            </w:r>
          </w:p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  <w:p w:rsidR="00665DD9" w:rsidRDefault="00665DD9" w:rsidP="002073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Знання законодавства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DD9" w:rsidRDefault="00665DD9" w:rsidP="00207308">
            <w:pPr>
              <w:ind w:left="-99" w:firstLine="27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Знання: </w:t>
            </w:r>
          </w:p>
          <w:p w:rsidR="00665DD9" w:rsidRDefault="00665DD9" w:rsidP="00207308">
            <w:pPr>
              <w:ind w:left="-99" w:firstLine="27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Конституції України,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законів України: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«Про державну службу»,</w:t>
            </w:r>
          </w:p>
          <w:p w:rsidR="00665DD9" w:rsidRDefault="00665DD9" w:rsidP="002073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«Про запобігання корупції»</w:t>
            </w:r>
          </w:p>
          <w:p w:rsidR="00665DD9" w:rsidRDefault="00665DD9" w:rsidP="0020730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5DD9" w:rsidTr="00665DD9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5DD9" w:rsidRDefault="00665DD9" w:rsidP="00207308">
            <w:pPr>
              <w:ind w:firstLine="2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Знання:</w:t>
            </w:r>
          </w:p>
          <w:p w:rsidR="00357307" w:rsidRDefault="00357307" w:rsidP="00207308">
            <w:pPr>
              <w:ind w:firstLine="2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Податкового кодексу України,</w:t>
            </w:r>
          </w:p>
          <w:p w:rsidR="00357307" w:rsidRDefault="00357307" w:rsidP="00207308">
            <w:pPr>
              <w:ind w:firstLine="2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Господарського кодексу України;</w:t>
            </w:r>
          </w:p>
          <w:p w:rsidR="00665DD9" w:rsidRDefault="00665DD9" w:rsidP="00207308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законів України: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65DD9" w:rsidRDefault="00357307" w:rsidP="00207308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 розвиток та державну підтримку </w:t>
            </w:r>
            <w:r w:rsidR="002170F7">
              <w:rPr>
                <w:sz w:val="28"/>
                <w:szCs w:val="28"/>
                <w:lang w:eastAsia="en-US"/>
              </w:rPr>
              <w:t>малого і середнього підприємництва в Україні»</w:t>
            </w:r>
            <w:r w:rsidR="00665DD9">
              <w:rPr>
                <w:sz w:val="28"/>
                <w:szCs w:val="28"/>
                <w:lang w:eastAsia="en-US"/>
              </w:rPr>
              <w:t>,</w:t>
            </w:r>
          </w:p>
          <w:p w:rsidR="002170F7" w:rsidRDefault="002170F7" w:rsidP="00207308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адміністративні послуги»,</w:t>
            </w:r>
          </w:p>
          <w:p w:rsidR="00665DD9" w:rsidRDefault="00665DD9" w:rsidP="00207308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«Про столицю України – місто-герой Київ», </w:t>
            </w:r>
          </w:p>
          <w:p w:rsidR="00665DD9" w:rsidRDefault="00665DD9" w:rsidP="00207308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«Про місцеві державні адміністрації»,</w:t>
            </w:r>
          </w:p>
          <w:p w:rsidR="00665DD9" w:rsidRDefault="00665DD9" w:rsidP="00207308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«Про місцеве самоврядування в Україні»,     </w:t>
            </w:r>
          </w:p>
          <w:p w:rsidR="00665DD9" w:rsidRDefault="00665DD9" w:rsidP="00207308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доступ до публічної інформації»,</w:t>
            </w:r>
          </w:p>
          <w:p w:rsidR="00665DD9" w:rsidRDefault="00665DD9" w:rsidP="00207308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звернення громадян»,</w:t>
            </w:r>
          </w:p>
          <w:p w:rsidR="002170F7" w:rsidRDefault="002170F7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громадські об'єднання»</w:t>
            </w:r>
            <w:r w:rsidR="004E6D4B">
              <w:rPr>
                <w:sz w:val="28"/>
                <w:szCs w:val="28"/>
                <w:lang w:eastAsia="en-US"/>
              </w:rPr>
              <w:t>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«Про державне прогнозування та розроблення програм економічного і соціального розвитку України»,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державні цільові програми»,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державно-приватне партнерство»,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державну реєстрацію юридичних осіб, фізичних осіб – підприємців та громадських формувань»,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дозвільну систему у сфері господарської діяльності»,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засади державної регуляторної політики у сфері господарської діяльності»,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захист прав споживачів»,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ліцензування видів господарської діяльності»,</w:t>
            </w:r>
          </w:p>
          <w:p w:rsidR="004E6D4B" w:rsidRDefault="004E6D4B" w:rsidP="002170F7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 основні засади державного нагляду (контрою) у сфері господарської діяльності»,</w:t>
            </w:r>
          </w:p>
          <w:p w:rsidR="00665DD9" w:rsidRPr="00600B74" w:rsidRDefault="00665DD9" w:rsidP="00207308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Положення про Департамент </w:t>
            </w:r>
            <w:r w:rsidR="002170F7">
              <w:rPr>
                <w:sz w:val="28"/>
                <w:szCs w:val="28"/>
                <w:lang w:eastAsia="en-US"/>
              </w:rPr>
              <w:t xml:space="preserve">промисловості та розвитку підприємництва </w:t>
            </w:r>
            <w:r>
              <w:rPr>
                <w:sz w:val="28"/>
                <w:szCs w:val="28"/>
                <w:lang w:eastAsia="en-US"/>
              </w:rPr>
              <w:t xml:space="preserve">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</w:t>
            </w:r>
            <w:r w:rsidRPr="00600B74">
              <w:rPr>
                <w:sz w:val="28"/>
                <w:szCs w:val="28"/>
                <w:lang w:eastAsia="en-US"/>
              </w:rPr>
              <w:t xml:space="preserve">від </w:t>
            </w:r>
            <w:r w:rsidR="00600B74" w:rsidRPr="00600B74">
              <w:rPr>
                <w:sz w:val="28"/>
                <w:szCs w:val="28"/>
                <w:lang w:eastAsia="en-US"/>
              </w:rPr>
              <w:t>12</w:t>
            </w:r>
            <w:r w:rsidRPr="00600B74">
              <w:rPr>
                <w:sz w:val="28"/>
                <w:szCs w:val="28"/>
                <w:lang w:eastAsia="en-US"/>
              </w:rPr>
              <w:t xml:space="preserve"> </w:t>
            </w:r>
            <w:r w:rsidR="00600B74" w:rsidRPr="00600B74">
              <w:rPr>
                <w:sz w:val="28"/>
                <w:szCs w:val="28"/>
                <w:lang w:eastAsia="en-US"/>
              </w:rPr>
              <w:t>грудня</w:t>
            </w:r>
            <w:r w:rsidRPr="00600B74">
              <w:rPr>
                <w:sz w:val="28"/>
                <w:szCs w:val="28"/>
                <w:lang w:eastAsia="en-US"/>
              </w:rPr>
              <w:t xml:space="preserve"> 201</w:t>
            </w:r>
            <w:r w:rsidR="00600B74" w:rsidRPr="00600B74">
              <w:rPr>
                <w:sz w:val="28"/>
                <w:szCs w:val="28"/>
                <w:lang w:eastAsia="en-US"/>
              </w:rPr>
              <w:t>3</w:t>
            </w:r>
            <w:r w:rsidRPr="00600B74">
              <w:rPr>
                <w:sz w:val="28"/>
                <w:szCs w:val="28"/>
                <w:lang w:eastAsia="en-US"/>
              </w:rPr>
              <w:t xml:space="preserve"> року № </w:t>
            </w:r>
            <w:r w:rsidR="00600B74" w:rsidRPr="00600B74">
              <w:rPr>
                <w:sz w:val="28"/>
                <w:szCs w:val="28"/>
                <w:lang w:eastAsia="en-US"/>
              </w:rPr>
              <w:t>2240</w:t>
            </w:r>
            <w:r w:rsidRPr="00600B74">
              <w:rPr>
                <w:sz w:val="28"/>
                <w:szCs w:val="28"/>
                <w:lang w:eastAsia="en-US"/>
              </w:rPr>
              <w:t xml:space="preserve">; </w:t>
            </w:r>
          </w:p>
          <w:p w:rsidR="00665DD9" w:rsidRDefault="00600B74" w:rsidP="00600B74">
            <w:pPr>
              <w:ind w:firstLine="2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Нормативно-правових актів, що регулюють діяльність у сфері</w:t>
            </w:r>
            <w:r w:rsidR="00665DD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промисловості та підприємництва</w:t>
            </w:r>
            <w:r w:rsidR="00665DD9">
              <w:rPr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</w:tc>
      </w:tr>
    </w:tbl>
    <w:p w:rsidR="00665DD9" w:rsidRDefault="00665DD9" w:rsidP="00665DD9">
      <w:pPr>
        <w:rPr>
          <w:sz w:val="28"/>
          <w:szCs w:val="28"/>
        </w:rPr>
      </w:pPr>
    </w:p>
    <w:p w:rsidR="00665DD9" w:rsidRDefault="00665DD9" w:rsidP="00665DD9">
      <w:pPr>
        <w:rPr>
          <w:sz w:val="28"/>
          <w:szCs w:val="28"/>
        </w:rPr>
      </w:pPr>
    </w:p>
    <w:p w:rsidR="00665DD9" w:rsidRDefault="00DE6990" w:rsidP="00665DD9">
      <w:r>
        <w:rPr>
          <w:sz w:val="28"/>
          <w:szCs w:val="28"/>
        </w:rPr>
        <w:t>К</w:t>
      </w:r>
      <w:r w:rsidR="00665DD9">
        <w:rPr>
          <w:sz w:val="28"/>
          <w:szCs w:val="28"/>
        </w:rPr>
        <w:t>ерівник апарату</w:t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>
        <w:rPr>
          <w:sz w:val="28"/>
          <w:szCs w:val="28"/>
        </w:rPr>
        <w:t>Дмитро ЗАГУМЕННИЙ</w:t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  <w:r w:rsidR="00665DD9">
        <w:rPr>
          <w:sz w:val="28"/>
          <w:szCs w:val="28"/>
        </w:rPr>
        <w:tab/>
      </w:r>
    </w:p>
    <w:p w:rsidR="00665DD9" w:rsidRDefault="00665DD9" w:rsidP="00665DD9"/>
    <w:p w:rsidR="00DD6197" w:rsidRDefault="00DD6197"/>
    <w:sectPr w:rsidR="00DD6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8F"/>
    <w:rsid w:val="0017238F"/>
    <w:rsid w:val="0018288D"/>
    <w:rsid w:val="00207308"/>
    <w:rsid w:val="002170F7"/>
    <w:rsid w:val="00314C47"/>
    <w:rsid w:val="00357307"/>
    <w:rsid w:val="00394738"/>
    <w:rsid w:val="00444D9F"/>
    <w:rsid w:val="00470920"/>
    <w:rsid w:val="004E6D4B"/>
    <w:rsid w:val="00600B74"/>
    <w:rsid w:val="00642CA1"/>
    <w:rsid w:val="00665DD9"/>
    <w:rsid w:val="006C5323"/>
    <w:rsid w:val="00712C4E"/>
    <w:rsid w:val="007B2690"/>
    <w:rsid w:val="00897C25"/>
    <w:rsid w:val="009675DF"/>
    <w:rsid w:val="00A6179F"/>
    <w:rsid w:val="00C419DF"/>
    <w:rsid w:val="00D22927"/>
    <w:rsid w:val="00DD6197"/>
    <w:rsid w:val="00DE6990"/>
    <w:rsid w:val="00EE5D80"/>
    <w:rsid w:val="00F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D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semiHidden/>
    <w:rsid w:val="00665DD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C419D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2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DD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semiHidden/>
    <w:rsid w:val="00665DD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C419D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C2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m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2018-10-31T13:03:00Z</cp:lastPrinted>
  <dcterms:created xsi:type="dcterms:W3CDTF">2018-10-29T10:06:00Z</dcterms:created>
  <dcterms:modified xsi:type="dcterms:W3CDTF">2018-11-02T12:42:00Z</dcterms:modified>
</cp:coreProperties>
</file>