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6F" w:rsidRDefault="00B6496F" w:rsidP="00B6496F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B6496F" w:rsidRDefault="00B6496F" w:rsidP="00B6496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B6496F" w:rsidRDefault="00B6496F" w:rsidP="00B6496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виконавчого органу Київської </w:t>
      </w:r>
    </w:p>
    <w:p w:rsidR="00B6496F" w:rsidRDefault="00B6496F" w:rsidP="00B6496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міської ради (Київської міської   </w:t>
      </w:r>
    </w:p>
    <w:p w:rsidR="00B6496F" w:rsidRDefault="00B6496F" w:rsidP="00B6496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державної адміністрації)</w:t>
      </w:r>
    </w:p>
    <w:p w:rsidR="00B6496F" w:rsidRDefault="00B6496F" w:rsidP="00B6496F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B6496F" w:rsidRDefault="00B6496F" w:rsidP="00B6496F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від 16 жовтня 2018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__№ _</w:t>
      </w:r>
      <w:r w:rsidRPr="00C3188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</w:p>
    <w:p w:rsidR="00B6496F" w:rsidRDefault="00B6496F" w:rsidP="00B6496F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B6496F" w:rsidRDefault="00B6496F" w:rsidP="00B649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</w:t>
      </w:r>
    </w:p>
    <w:p w:rsidR="00B6496F" w:rsidRDefault="00B6496F" w:rsidP="00B6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зайняття вакантної посади головного спеціаліста – літературного редактора відділу редагування документів та випуску розпоряджень управління контрольно-аналітичного забезпечення керівництва апарату виконавчого органу Київської міської ради (Київської міської державної адміністрації) апарату виконавчого  органу Київської міської ради (Київської міської державної адміністрації (категорія «В»)</w:t>
      </w:r>
    </w:p>
    <w:p w:rsidR="00B6496F" w:rsidRDefault="00B6496F" w:rsidP="00B649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7092"/>
      </w:tblGrid>
      <w:tr w:rsidR="00B6496F" w:rsidTr="00B6496F">
        <w:tc>
          <w:tcPr>
            <w:tcW w:w="10035" w:type="dxa"/>
            <w:gridSpan w:val="3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Загальні умови</w:t>
            </w: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</w:tr>
      <w:tr w:rsidR="00B6496F" w:rsidRPr="002A506D" w:rsidTr="00B6496F">
        <w:tc>
          <w:tcPr>
            <w:tcW w:w="2943" w:type="dxa"/>
            <w:gridSpan w:val="2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літературний редактор відділу редагування документів та випуску розпоряджень управління контрольно-аналітичного забезпечення керівництва апарату виконавчого органу Київської міської ради (Київської міської державної адміністрації) апарату виконавчого  органу Київської міської ради (Київської міської державної адміністрації) (далі – Відділ):</w:t>
            </w:r>
          </w:p>
          <w:p w:rsidR="00B6496F" w:rsidRDefault="00B6496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дотриманням вимог Регламенту виконавчого органу Київської міської ради (Київської міської державної адміністрації) та Інструкції з діловодства, Державних стандартів України 4163-2003 під час опрацювання проектів розпоряджень Київського міського голови, виконавчого органу Київської міської ради (Київської міської державної адміністрації) та листів за підписом Київського міського голови;</w:t>
            </w:r>
          </w:p>
          <w:p w:rsidR="00B6496F" w:rsidRDefault="00B6496F" w:rsidP="002A506D">
            <w:pPr>
              <w:pStyle w:val="a4"/>
              <w:spacing w:before="0" w:beforeAutospacing="0" w:after="0" w:afterAutospacing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ґрунтовне редакційне опрацювання та ретельне контрольне вичитування проектів нормативних актів виконавчого органу Київської міської ради (Київської міської державної адміністрації);</w:t>
            </w:r>
          </w:p>
          <w:p w:rsidR="00B6496F" w:rsidRDefault="00B6496F" w:rsidP="002A506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літературне редагування вихідної кореспонденції за підписом Київського міського голови;</w:t>
            </w:r>
          </w:p>
          <w:p w:rsidR="00B6496F" w:rsidRDefault="00B6496F" w:rsidP="002A506D">
            <w:pPr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забезпечує відповідність текстів проектів нормативних актів та листів за підписом Київського міського голови нормам українського правопису та офіційно-ділового стилю літературної української мови;</w:t>
            </w:r>
          </w:p>
          <w:p w:rsidR="00B6496F" w:rsidRDefault="00B6496F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забезпечує правильність структури та композиції листів за підписом Київського міського голови, зокрема наявність обов'язкових реквізитів;</w:t>
            </w:r>
          </w:p>
          <w:p w:rsidR="00B6496F" w:rsidRDefault="00B6496F">
            <w:pPr>
              <w:tabs>
                <w:tab w:val="left" w:pos="451"/>
                <w:tab w:val="left" w:pos="6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надає методичну допомогу співробітникам з питань українського ділового мовлення та правопису, готує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навчально-методичні матеріали; </w:t>
            </w:r>
          </w:p>
          <w:p w:rsidR="00B6496F" w:rsidRDefault="00B6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готує аналітичні довідки, відповіді на запити на інформацію, звернення, заяви та скарги громадян, листи правоохоронних та контролюючих органів, інших установ і організацій з питань, що належать до компетенції Відділу;</w:t>
            </w:r>
          </w:p>
          <w:p w:rsidR="00B6496F" w:rsidRDefault="00B6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готує пропозиції щодо вдосконалення роботи Відділу;</w:t>
            </w:r>
          </w:p>
          <w:p w:rsidR="00B6496F" w:rsidRDefault="00B6496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практичну роботу з уніфікації методичних напрацювань за своїм напрямком діяльності;</w:t>
            </w:r>
          </w:p>
          <w:p w:rsidR="00B6496F" w:rsidRDefault="00B6496F">
            <w:pPr>
              <w:pStyle w:val="a5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виконує інші обов’язки, передбачені посадовою інструкцією.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6496F" w:rsidTr="00B6496F">
        <w:tc>
          <w:tcPr>
            <w:tcW w:w="2943" w:type="dxa"/>
            <w:gridSpan w:val="2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 w:rsidP="0075467D">
            <w:pPr>
              <w:numPr>
                <w:ilvl w:val="0"/>
                <w:numId w:val="1"/>
              </w:numPr>
              <w:suppressAutoHyphens w:val="0"/>
              <w:overflowPunct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посадовий оклад 4800,00 гривень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юрисдикції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№ 15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№ 24);</w:t>
            </w:r>
          </w:p>
          <w:p w:rsidR="00B6496F" w:rsidRDefault="00B6496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6496F" w:rsidTr="00B6496F">
        <w:tc>
          <w:tcPr>
            <w:tcW w:w="2943" w:type="dxa"/>
            <w:gridSpan w:val="2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частини другої статті 34 Закону України «Про державну службу» призначення на посаду здійснюється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період відсутності основного працівника, за яким відповідно до цього Закону зберігається посада державної служби.</w:t>
            </w:r>
          </w:p>
        </w:tc>
      </w:tr>
      <w:tr w:rsidR="00B6496F" w:rsidTr="00B6496F">
        <w:tc>
          <w:tcPr>
            <w:tcW w:w="2943" w:type="dxa"/>
            <w:gridSpan w:val="2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1"/>
            <w:bookmarkEnd w:id="0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2"/>
            <w:bookmarkEnd w:id="1"/>
            <w:r>
              <w:rPr>
                <w:color w:val="000000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3"/>
            <w:bookmarkEnd w:id="2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4"/>
            <w:bookmarkEnd w:id="3"/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) копію (копії) документа (документів) про освіту;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) оригінал посвідчення атестації щодо вільного володіння </w:t>
            </w:r>
            <w:proofErr w:type="gramStart"/>
            <w:r>
              <w:rPr>
                <w:color w:val="000000"/>
                <w:sz w:val="28"/>
                <w:szCs w:val="28"/>
              </w:rPr>
              <w:t>державною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мовою;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5"/>
            <w:bookmarkEnd w:id="4"/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</w:rPr>
              <w:t>)</w:t>
            </w:r>
            <w:bookmarkStart w:id="5" w:name="n76"/>
            <w:bookmarkEnd w:id="5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6" w:name="n78"/>
            <w:bookmarkStart w:id="7" w:name="n77"/>
            <w:bookmarkEnd w:id="6"/>
            <w:bookmarkEnd w:id="7"/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) декларацію особи, уповноваженої на виконання функцій держави або місцевого самоврядування, за минулий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ік (надається  у вигляді роздрукованого</w:t>
            </w:r>
            <w:r>
              <w:rPr>
                <w:color w:val="000000"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примірника заповненої декларації на офіційному веб-сайті НАЗК)</w:t>
            </w:r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B6496F" w:rsidRDefault="00B6496F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6496F" w:rsidRDefault="00B6496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B6496F" w:rsidRDefault="00B6496F">
            <w:pPr>
              <w:spacing w:after="0" w:line="240" w:lineRule="auto"/>
              <w:ind w:firstLine="459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18.00 31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року.</w:t>
            </w:r>
          </w:p>
        </w:tc>
      </w:tr>
      <w:tr w:rsidR="00B6496F" w:rsidTr="00B6496F">
        <w:tc>
          <w:tcPr>
            <w:tcW w:w="2943" w:type="dxa"/>
            <w:gridSpan w:val="2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дата та час початку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вул. Хрещатик, 36, 06 листопада 2018 року о 10.00.</w:t>
            </w:r>
          </w:p>
        </w:tc>
      </w:tr>
      <w:tr w:rsidR="00B6496F" w:rsidTr="00B6496F">
        <w:tc>
          <w:tcPr>
            <w:tcW w:w="2943" w:type="dxa"/>
            <w:gridSpan w:val="2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459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B6496F" w:rsidTr="00B6496F">
        <w:tc>
          <w:tcPr>
            <w:tcW w:w="10035" w:type="dxa"/>
            <w:gridSpan w:val="3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6496F" w:rsidTr="00B6496F">
        <w:tc>
          <w:tcPr>
            <w:tcW w:w="531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459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 освіта ступеня бакалавра, молодшого бакалавра за спеціальністю «Філологія» (українська мова та література)</w:t>
            </w:r>
          </w:p>
        </w:tc>
      </w:tr>
      <w:tr w:rsidR="00B6496F" w:rsidTr="00B6496F">
        <w:tc>
          <w:tcPr>
            <w:tcW w:w="531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1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B6496F" w:rsidTr="00B6496F">
        <w:tc>
          <w:tcPr>
            <w:tcW w:w="531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B6496F" w:rsidTr="00B6496F">
        <w:tc>
          <w:tcPr>
            <w:tcW w:w="10035" w:type="dxa"/>
            <w:gridSpan w:val="3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</w:tr>
      <w:tr w:rsidR="00B6496F" w:rsidTr="00B6496F">
        <w:tc>
          <w:tcPr>
            <w:tcW w:w="531" w:type="dxa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2A506D" w:rsidRPr="002A506D" w:rsidRDefault="002A506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496F" w:rsidTr="00B6496F">
        <w:tc>
          <w:tcPr>
            <w:tcW w:w="531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Ділові якості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уміння працювати в колективі;</w:t>
            </w: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ініціативність;</w:t>
            </w: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дисциплінованість;</w:t>
            </w: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вимогливість до себе.</w:t>
            </w:r>
          </w:p>
        </w:tc>
      </w:tr>
      <w:tr w:rsidR="00B6496F" w:rsidTr="00B6496F">
        <w:tc>
          <w:tcPr>
            <w:tcW w:w="531" w:type="dxa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</w:tcPr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092" w:type="dxa"/>
            <w:shd w:val="clear" w:color="auto" w:fill="FFFFFF"/>
          </w:tcPr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B6496F" w:rsidTr="00B6496F">
        <w:tc>
          <w:tcPr>
            <w:tcW w:w="531" w:type="dxa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4383C" w:rsidRDefault="00643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8" w:name="_GoBack"/>
            <w:bookmarkEnd w:id="8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2" w:type="dxa"/>
            <w:shd w:val="clear" w:color="auto" w:fill="FFFFFF"/>
          </w:tcPr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Уміння працювати з комп’ютером </w:t>
            </w: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4383C" w:rsidRDefault="0064383C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en-US" w:eastAsia="en-US"/>
              </w:rPr>
            </w:pP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Особистісні якості</w:t>
            </w:r>
          </w:p>
        </w:tc>
        <w:tc>
          <w:tcPr>
            <w:tcW w:w="7092" w:type="dxa"/>
            <w:shd w:val="clear" w:color="auto" w:fill="FFFFFF"/>
          </w:tcPr>
          <w:p w:rsidR="00B6496F" w:rsidRDefault="00B6496F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 xml:space="preserve">вміння використовувати комп'ютерне обладнання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br/>
              <w:t xml:space="preserve">та програмне забезпечення, використовувати офісну техніку; </w:t>
            </w:r>
            <w:r>
              <w:rPr>
                <w:sz w:val="28"/>
                <w:szCs w:val="28"/>
                <w:lang w:val="uk-UA" w:eastAsia="en-US"/>
              </w:rPr>
              <w:t xml:space="preserve">досвідчений користувач MS Word, MS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="002A506D" w:rsidRPr="002A506D">
              <w:rPr>
                <w:sz w:val="28"/>
                <w:szCs w:val="28"/>
                <w:lang w:val="uk-UA" w:eastAsia="en-US"/>
              </w:rPr>
              <w:br/>
            </w:r>
            <w:r w:rsidR="002A506D" w:rsidRPr="002A506D">
              <w:rPr>
                <w:sz w:val="28"/>
                <w:szCs w:val="28"/>
                <w:lang w:val="uk-UA" w:eastAsia="en-US"/>
              </w:rPr>
              <w:br/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навички роботи з інформаційно-пошуковими системами в мережі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B6496F" w:rsidRDefault="00B6496F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6496F" w:rsidRDefault="00B6496F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відповідальність;</w:t>
            </w:r>
          </w:p>
          <w:p w:rsidR="00B6496F" w:rsidRDefault="00B6496F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неупередженість;</w:t>
            </w:r>
          </w:p>
          <w:p w:rsidR="00B6496F" w:rsidRDefault="00B6496F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комунікабельність;</w:t>
            </w:r>
          </w:p>
          <w:p w:rsidR="00B6496F" w:rsidRDefault="00B6496F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порядність.</w:t>
            </w:r>
          </w:p>
        </w:tc>
      </w:tr>
      <w:tr w:rsidR="00B6496F" w:rsidTr="00B6496F">
        <w:trPr>
          <w:trHeight w:val="590"/>
        </w:trPr>
        <w:tc>
          <w:tcPr>
            <w:tcW w:w="531" w:type="dxa"/>
            <w:shd w:val="clear" w:color="auto" w:fill="FFFFFF"/>
            <w:vAlign w:val="center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04" w:type="dxa"/>
            <w:gridSpan w:val="2"/>
            <w:shd w:val="clear" w:color="auto" w:fill="FFFFFF"/>
            <w:vAlign w:val="center"/>
            <w:hideMark/>
          </w:tcPr>
          <w:p w:rsidR="00B6496F" w:rsidRDefault="00B6496F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Професійні знання</w:t>
            </w:r>
          </w:p>
        </w:tc>
      </w:tr>
      <w:tr w:rsidR="00B6496F" w:rsidTr="00B6496F">
        <w:tc>
          <w:tcPr>
            <w:tcW w:w="531" w:type="dxa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B6496F" w:rsidRDefault="00B6496F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B6496F" w:rsidTr="00B6496F">
        <w:tc>
          <w:tcPr>
            <w:tcW w:w="531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Конституції України, 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Закону України «Про державну службу», 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Закону України «Про запобігання корупції»</w:t>
            </w:r>
          </w:p>
        </w:tc>
      </w:tr>
      <w:tr w:rsidR="00B6496F" w:rsidRPr="002A506D" w:rsidTr="00B6496F">
        <w:tc>
          <w:tcPr>
            <w:tcW w:w="531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2" w:type="dxa"/>
            <w:shd w:val="clear" w:color="auto" w:fill="FFFFFF"/>
            <w:hideMark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92" w:type="dxa"/>
            <w:shd w:val="clear" w:color="auto" w:fill="FFFFFF"/>
            <w:hideMark/>
          </w:tcPr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законів України: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столицю України – місто-герой Київ»,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місцеві державні адміністрації»,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місцеве самоврядування в Україні»,</w:t>
            </w:r>
          </w:p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«Про інформацію», </w:t>
            </w:r>
          </w:p>
          <w:p w:rsidR="00B6496F" w:rsidRDefault="00B6496F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доступ до публічної інформації»,</w:t>
            </w:r>
          </w:p>
          <w:p w:rsidR="00B6496F" w:rsidRDefault="00B6496F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захист персональних даних»,</w:t>
            </w:r>
          </w:p>
          <w:p w:rsidR="00B6496F" w:rsidRDefault="00B6496F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електронні документи та електронний документообіг»,</w:t>
            </w:r>
          </w:p>
          <w:p w:rsidR="00B6496F" w:rsidRDefault="00B6496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1810;</w:t>
            </w:r>
          </w:p>
          <w:p w:rsidR="00B6496F" w:rsidRDefault="00B6496F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адміністраціях», затвердженої розпорядженням виконавчого органу Київської міської ради (Київської міської державної адміністрації) від 25 вересня 2018 року № 1747.</w:t>
            </w:r>
          </w:p>
        </w:tc>
      </w:tr>
      <w:tr w:rsidR="00B6496F" w:rsidRPr="002A506D" w:rsidTr="00B6496F">
        <w:tc>
          <w:tcPr>
            <w:tcW w:w="531" w:type="dxa"/>
            <w:shd w:val="clear" w:color="auto" w:fill="FFFFFF"/>
          </w:tcPr>
          <w:p w:rsidR="00B6496F" w:rsidRDefault="00B6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</w:tcPr>
          <w:p w:rsidR="00B6496F" w:rsidRDefault="00B64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shd w:val="clear" w:color="auto" w:fill="FFFFFF"/>
          </w:tcPr>
          <w:p w:rsidR="00B6496F" w:rsidRDefault="00B6496F">
            <w:pPr>
              <w:pStyle w:val="1"/>
              <w:spacing w:after="0" w:line="240" w:lineRule="auto"/>
              <w:ind w:firstLine="45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6496F" w:rsidRDefault="00B6496F" w:rsidP="00B649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Євген СИТНІЧЕНКО</w:t>
      </w:r>
    </w:p>
    <w:p w:rsidR="00B6496F" w:rsidRDefault="00B6496F" w:rsidP="00B6496F"/>
    <w:p w:rsidR="00B95E61" w:rsidRPr="00B6496F" w:rsidRDefault="00B95E61" w:rsidP="00B6496F"/>
    <w:sectPr w:rsidR="00B95E61" w:rsidRPr="00B6496F" w:rsidSect="002A506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F6"/>
    <w:rsid w:val="00026EE6"/>
    <w:rsid w:val="0021230B"/>
    <w:rsid w:val="00226836"/>
    <w:rsid w:val="002A3AF0"/>
    <w:rsid w:val="002A506D"/>
    <w:rsid w:val="003E501E"/>
    <w:rsid w:val="0061324E"/>
    <w:rsid w:val="0064383C"/>
    <w:rsid w:val="006A2ACD"/>
    <w:rsid w:val="006B1F69"/>
    <w:rsid w:val="006C7126"/>
    <w:rsid w:val="006F48F6"/>
    <w:rsid w:val="00702351"/>
    <w:rsid w:val="007E09E3"/>
    <w:rsid w:val="00A45B12"/>
    <w:rsid w:val="00B0758F"/>
    <w:rsid w:val="00B6496F"/>
    <w:rsid w:val="00B95E61"/>
    <w:rsid w:val="00BB0929"/>
    <w:rsid w:val="00DE6D04"/>
    <w:rsid w:val="00DF1903"/>
    <w:rsid w:val="00E57ABF"/>
    <w:rsid w:val="00ED42F2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2"/>
    <w:pPr>
      <w:suppressAutoHyphens/>
      <w:overflowPunct w:val="0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42F2"/>
    <w:pPr>
      <w:spacing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ED42F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7E09E3"/>
  </w:style>
  <w:style w:type="paragraph" w:styleId="a4">
    <w:name w:val="Normal (Web)"/>
    <w:basedOn w:val="a"/>
    <w:link w:val="a3"/>
    <w:semiHidden/>
    <w:unhideWhenUsed/>
    <w:rsid w:val="007E09E3"/>
    <w:pPr>
      <w:suppressAutoHyphens w:val="0"/>
      <w:overflowPunct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paragraph" w:styleId="a5">
    <w:name w:val="List Paragraph"/>
    <w:basedOn w:val="a"/>
    <w:uiPriority w:val="34"/>
    <w:qFormat/>
    <w:rsid w:val="00BB0929"/>
    <w:pPr>
      <w:suppressAutoHyphens w:val="0"/>
      <w:overflowPunct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E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ABF"/>
    <w:rPr>
      <w:rFonts w:ascii="Tahoma" w:eastAsia="SimSun" w:hAnsi="Tahoma" w:cs="Tahoma"/>
      <w:color w:val="00000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2"/>
    <w:pPr>
      <w:suppressAutoHyphens/>
      <w:overflowPunct w:val="0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42F2"/>
    <w:pPr>
      <w:spacing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ED42F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7E09E3"/>
  </w:style>
  <w:style w:type="paragraph" w:styleId="a4">
    <w:name w:val="Normal (Web)"/>
    <w:basedOn w:val="a"/>
    <w:link w:val="a3"/>
    <w:semiHidden/>
    <w:unhideWhenUsed/>
    <w:rsid w:val="007E09E3"/>
    <w:pPr>
      <w:suppressAutoHyphens w:val="0"/>
      <w:overflowPunct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paragraph" w:styleId="a5">
    <w:name w:val="List Paragraph"/>
    <w:basedOn w:val="a"/>
    <w:uiPriority w:val="34"/>
    <w:qFormat/>
    <w:rsid w:val="00BB0929"/>
    <w:pPr>
      <w:suppressAutoHyphens w:val="0"/>
      <w:overflowPunct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E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ABF"/>
    <w:rPr>
      <w:rFonts w:ascii="Tahoma" w:eastAsia="SimSun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2018-10-16T08:47:00Z</cp:lastPrinted>
  <dcterms:created xsi:type="dcterms:W3CDTF">2018-10-04T10:16:00Z</dcterms:created>
  <dcterms:modified xsi:type="dcterms:W3CDTF">2018-10-16T08:47:00Z</dcterms:modified>
</cp:coreProperties>
</file>