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2A3" w:rsidRDefault="000942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D212A3" w:rsidRDefault="000942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державного службовця – начальника відділу організації дорожнього руху та паркування управління з питань організації дорожнього руху, паркування та пасажирських перевезень Департаменту транспортної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інфраструктури виконавчого органу Київської міської ради (Київської міської державної адміністрації)</w:t>
      </w:r>
    </w:p>
    <w:p w:rsidR="00D212A3" w:rsidRDefault="00D212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12A3" w:rsidRDefault="000942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«Б»)</w:t>
      </w:r>
    </w:p>
    <w:p w:rsidR="00D212A3" w:rsidRDefault="00D212A3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Ind w:w="-2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3" w:type="dxa"/>
        </w:tblCellMar>
        <w:tblLook w:val="04A0" w:firstRow="1" w:lastRow="0" w:firstColumn="1" w:lastColumn="0" w:noHBand="0" w:noVBand="1"/>
      </w:tblPr>
      <w:tblGrid>
        <w:gridCol w:w="669"/>
        <w:gridCol w:w="1844"/>
        <w:gridCol w:w="1558"/>
        <w:gridCol w:w="5500"/>
      </w:tblGrid>
      <w:tr w:rsidR="00D212A3">
        <w:tc>
          <w:tcPr>
            <w:tcW w:w="9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D212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D212A3" w:rsidRDefault="00094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D212A3" w:rsidRDefault="00D212A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12A3">
        <w:tc>
          <w:tcPr>
            <w:tcW w:w="2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Начальник відділу організації дорожнього руху та паркування управління з питань організації дорожнь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ого руху, паркування та пасажирських перевезень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 випливають з положень про Департамент, управління, відділ та цієї інструкції: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1.Здійснює роботу по вдосконаленню та контролю робіт організації дорожнього руху та паркування комунальних підприємств дорожньо-транспортного комплексу м. Києва, діяльність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ких належить до повноважень Департаменту. 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2.Систематизує інформацію щодо стану підприємств транспорту у сфері організації дорожнього руху та паркування, бере участь у визначенні й розробці концепції та перспектив розвитку цього напрямку;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3.Здійснює оцінку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ефективності роботи в організації дорожнього руху та паркування, та вносить пропозиції щодо вжиття заходів, спрямованих на її підвищення.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4.Проводить аналіз роботи підприємств міського транспорту щодо виконання завдань в сфері організації дорожнього руху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паркування, покладених відповідними дорученнями, розпорядженнями виконавчого органу Київської міської ради (Київської міської державної адміністрації), рішеннями Київської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міської ради. 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5.Веде оперативну роботу з питань організації дорожнього руху та паркування. 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6.Готує та оформлює матеріали для розгляду на нарадах у начальника Департаменту, його заступників з питань, що входять до його компетенції.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7.Бере участь у підготовці проектів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озпоряджень виконавчого органу Київської міської ради (Київської міської державної адміністрації) та наказів Департаменту з питань, що входять до його компетенції.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8.Бере участь у конференціях, семінарах, нарадах, творчих дискусіях з питань управління.</w:t>
            </w:r>
          </w:p>
          <w:p w:rsidR="00D212A3" w:rsidRDefault="00D21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12A3">
        <w:tc>
          <w:tcPr>
            <w:tcW w:w="2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мови оплати праці</w:t>
            </w:r>
          </w:p>
        </w:tc>
        <w:tc>
          <w:tcPr>
            <w:tcW w:w="7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6000,00 гривень відповідно до постанови Кабінету Міністрів України від 18 січня 2017 року № 15 (зі змінами);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D212A3">
        <w:tc>
          <w:tcPr>
            <w:tcW w:w="2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Інформація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строковість чи безстроковість призначення на посаду</w:t>
            </w:r>
          </w:p>
        </w:tc>
        <w:tc>
          <w:tcPr>
            <w:tcW w:w="7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за строковим трудовим договором  </w:t>
            </w:r>
          </w:p>
        </w:tc>
      </w:tr>
      <w:tr w:rsidR="00D212A3">
        <w:tc>
          <w:tcPr>
            <w:tcW w:w="2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Перелік документів, необхідних для участі у конкурсі, та строк їх подання</w:t>
            </w:r>
          </w:p>
        </w:tc>
        <w:tc>
          <w:tcPr>
            <w:tcW w:w="7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акі документи: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3) письмову заяву, в якій повідомляє про те, що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письмову заяву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про відсутність заборгованості зі сплати аліментів на утримання дитини, сукупний розмір якої перевищує суму відповідних платежів за шість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місяців з дня пред'явлення виконавчого документа до примусового виконання;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копію (копії) документа (документів) 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 освіту;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оригінал посвідчення атестації щодо вільного володіння державною мовою;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заповнену особову картку встановленого зразка;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8) декларацію особи, уповноваженої на виконання функцій держави або місцевого самоврядування, за минулий рік (надається 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вигляді роздрукованого примірника заповненої декларації на офіційному веб-сайті НАЗК).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екомендації, наукові публікації та інші).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D212A3" w:rsidRDefault="0009424A" w:rsidP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</w:t>
            </w:r>
            <w:r w:rsidRPr="000942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прийм</w:t>
            </w:r>
            <w:r w:rsidRPr="000942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аються </w:t>
            </w:r>
            <w:r w:rsidRPr="000942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16 год. 00 хв.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28 </w:t>
            </w:r>
            <w:r w:rsidRPr="000942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рудня 2018 </w:t>
            </w:r>
            <w:r w:rsidRPr="000942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року,</w:t>
            </w:r>
            <w:r w:rsidRPr="0009424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216</w:t>
            </w:r>
          </w:p>
        </w:tc>
      </w:tr>
      <w:tr w:rsidR="00D212A3">
        <w:tc>
          <w:tcPr>
            <w:tcW w:w="2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Місце, час та дата початку проведення конкурсу</w:t>
            </w:r>
          </w:p>
        </w:tc>
        <w:tc>
          <w:tcPr>
            <w:tcW w:w="7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Конкурс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м. Київ, вул. Набережне шосе буд. 2, кабінет 205</w:t>
            </w:r>
          </w:p>
          <w:p w:rsidR="00D212A3" w:rsidRDefault="0009424A" w:rsidP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shd w:val="clear" w:color="auto" w:fill="FFFF00"/>
                <w:lang w:val="uk-UA" w:eastAsia="ru-RU"/>
              </w:rPr>
            </w:pPr>
            <w:r w:rsidRPr="000942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з 10.00 до 17.00 </w:t>
            </w:r>
            <w:proofErr w:type="spellStart"/>
            <w:r w:rsidRPr="000942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 w:rsidRPr="000942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04 січня</w:t>
            </w:r>
            <w:r w:rsidRPr="000942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9</w:t>
            </w:r>
            <w:r w:rsidRPr="0009424A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року</w:t>
            </w:r>
          </w:p>
        </w:tc>
      </w:tr>
      <w:tr w:rsidR="00D212A3">
        <w:tc>
          <w:tcPr>
            <w:tcW w:w="25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  <w:p w:rsidR="00D212A3" w:rsidRDefault="00D21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70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Кардаш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Віталіївна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202-63-77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mega.kadry_dti@ukr.net</w:t>
            </w:r>
            <w:bookmarkStart w:id="0" w:name="_GoBack"/>
            <w:bookmarkEnd w:id="0"/>
          </w:p>
        </w:tc>
      </w:tr>
      <w:tr w:rsidR="00D212A3">
        <w:tc>
          <w:tcPr>
            <w:tcW w:w="9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D212A3"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Вища, ступінь вищої освіти не нижче магістра </w:t>
            </w:r>
          </w:p>
        </w:tc>
      </w:tr>
      <w:tr w:rsidR="00D212A3">
        <w:trPr>
          <w:trHeight w:val="254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досвід роботи на посадах державної служби категорій «Б» чи «В», або досвід служби в органах місцевого самоврядування, або досвід роботи на керівних посадах підприємств, установ та організацій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незалежно від форми власності  не менше двох років</w:t>
            </w:r>
          </w:p>
        </w:tc>
      </w:tr>
      <w:tr w:rsidR="00D212A3">
        <w:trPr>
          <w:trHeight w:val="254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вільне володіння державною мовою</w:t>
            </w:r>
          </w:p>
        </w:tc>
      </w:tr>
      <w:tr w:rsidR="00D212A3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D212A3">
        <w:trPr>
          <w:trHeight w:val="254"/>
        </w:trPr>
        <w:tc>
          <w:tcPr>
            <w:tcW w:w="4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D212A3">
        <w:trPr>
          <w:trHeight w:val="254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D212A3" w:rsidRDefault="0009424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D212A3" w:rsidRDefault="0009424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D212A3" w:rsidRDefault="0009424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D212A3" w:rsidRDefault="0009424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D212A3" w:rsidRDefault="0009424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D212A3" w:rsidRDefault="0009424A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D212A3">
        <w:trPr>
          <w:trHeight w:val="254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використовувати комп'ютерне обладнання та програмне забезпечення, офісну техніку, досвідчений користу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працювати з мобільними додатками.</w:t>
            </w:r>
          </w:p>
        </w:tc>
      </w:tr>
      <w:tr w:rsidR="00D212A3">
        <w:trPr>
          <w:trHeight w:val="254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D212A3" w:rsidRDefault="0009424A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D212A3" w:rsidRDefault="0009424A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D212A3" w:rsidRDefault="0009424A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D212A3" w:rsidRDefault="0009424A">
            <w:pPr>
              <w:numPr>
                <w:ilvl w:val="0"/>
                <w:numId w:val="2"/>
              </w:num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D212A3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Професійні знання</w:t>
            </w:r>
          </w:p>
        </w:tc>
      </w:tr>
      <w:tr w:rsidR="00D212A3">
        <w:trPr>
          <w:trHeight w:val="254"/>
        </w:trPr>
        <w:tc>
          <w:tcPr>
            <w:tcW w:w="4072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Вимога</w:t>
            </w:r>
          </w:p>
        </w:tc>
        <w:tc>
          <w:tcPr>
            <w:tcW w:w="5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Компоненти вимоги</w:t>
            </w:r>
          </w:p>
        </w:tc>
      </w:tr>
      <w:tr w:rsidR="00D212A3">
        <w:trPr>
          <w:trHeight w:val="254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Конституція України.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державну службу».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запобігання корупції».</w:t>
            </w:r>
          </w:p>
          <w:p w:rsidR="00D212A3" w:rsidRDefault="00D212A3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D212A3" w:rsidRPr="0009424A">
        <w:trPr>
          <w:trHeight w:val="6228"/>
        </w:trPr>
        <w:tc>
          <w:tcPr>
            <w:tcW w:w="6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2.</w:t>
            </w:r>
          </w:p>
        </w:tc>
        <w:tc>
          <w:tcPr>
            <w:tcW w:w="340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Знання спеціального законодавства, що пов’язане із завданнями та змістом роботи державного службовця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відповідно до посадової інструкції (положення про структурний підрозділ)</w:t>
            </w:r>
          </w:p>
        </w:tc>
        <w:tc>
          <w:tcPr>
            <w:tcW w:w="55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3" w:type="dxa"/>
            </w:tcMar>
          </w:tcPr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місцеве самоврядування в Україні».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місцеві державні адміністрації».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звернення громадян».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 України «Про доступ до публічно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ї інформації».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Закони України «Про транспорт», «Про автомобільний транспорт», «Про міський електричний транспорт», «Про дорожній рух», «Про автомобільні дороги»;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Правила дорожнього руху.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Кодекс України про адміністративні правопорушення. </w:t>
            </w:r>
          </w:p>
          <w:p w:rsidR="00D212A3" w:rsidRDefault="0009424A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Порядок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D212A3" w:rsidRDefault="00D212A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D212A3" w:rsidRDefault="0009424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</w:p>
    <w:sectPr w:rsidR="00D212A3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C486F"/>
    <w:multiLevelType w:val="multilevel"/>
    <w:tmpl w:val="1CBCB0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A902FCB"/>
    <w:multiLevelType w:val="multilevel"/>
    <w:tmpl w:val="7A822AC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7E7D5D52"/>
    <w:multiLevelType w:val="multilevel"/>
    <w:tmpl w:val="C0F63F8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212A3"/>
    <w:rsid w:val="0009424A"/>
    <w:rsid w:val="00D2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055"/>
    <w:pPr>
      <w:suppressAutoHyphens/>
      <w:spacing w:after="200"/>
    </w:pPr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cs="Symbol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Wingdings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Wingdings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Wingdings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Courier New"/>
    </w:rPr>
  </w:style>
  <w:style w:type="character" w:customStyle="1" w:styleId="ListLabel13">
    <w:name w:val="ListLabel 13"/>
    <w:rPr>
      <w:rFonts w:cs="Wingdings"/>
    </w:rPr>
  </w:style>
  <w:style w:type="character" w:customStyle="1" w:styleId="ListLabel14">
    <w:name w:val="ListLabel 14"/>
    <w:rPr>
      <w:rFonts w:cs="Symbol"/>
    </w:rPr>
  </w:style>
  <w:style w:type="character" w:customStyle="1" w:styleId="ListLabel15">
    <w:name w:val="ListLabel 15"/>
    <w:rPr>
      <w:rFonts w:cs="Courier New"/>
    </w:rPr>
  </w:style>
  <w:style w:type="character" w:customStyle="1" w:styleId="ListLabel16">
    <w:name w:val="ListLabel 16"/>
    <w:rPr>
      <w:rFonts w:cs="Wingdings"/>
    </w:rPr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FreeSans"/>
    </w:rPr>
  </w:style>
  <w:style w:type="paragraph" w:styleId="a6">
    <w:name w:val="Title"/>
    <w:basedOn w:val="a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7">
    <w:name w:val="index heading"/>
    <w:basedOn w:val="a"/>
    <w:pPr>
      <w:suppressLineNumbers/>
    </w:pPr>
    <w:rPr>
      <w:rFonts w:cs="FreeSans"/>
    </w:rPr>
  </w:style>
  <w:style w:type="table" w:customStyle="1" w:styleId="21">
    <w:name w:val="Сетка таблицы21"/>
    <w:basedOn w:val="a1"/>
    <w:uiPriority w:val="59"/>
    <w:rsid w:val="001E17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1E178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090E7-E77A-4C96-989A-630E6CAB2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4343</Words>
  <Characters>2477</Characters>
  <Application>Microsoft Office Word</Application>
  <DocSecurity>0</DocSecurity>
  <Lines>20</Lines>
  <Paragraphs>13</Paragraphs>
  <ScaleCrop>false</ScaleCrop>
  <Company/>
  <LinksUpToDate>false</LinksUpToDate>
  <CharactersWithSpaces>6807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8</cp:revision>
  <dcterms:created xsi:type="dcterms:W3CDTF">2018-12-02T15:59:00Z</dcterms:created>
  <dcterms:modified xsi:type="dcterms:W3CDTF">2018-12-11T09:35:00Z</dcterms:modified>
  <dc:language>ru-RU</dc:language>
</cp:coreProperties>
</file>