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5" w:rsidRPr="00AF21D5" w:rsidRDefault="00AF21D5" w:rsidP="00AF21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1D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F21D5" w:rsidRPr="00AF21D5" w:rsidRDefault="00AF21D5" w:rsidP="00AF21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AF21D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F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AF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F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AF21D5" w:rsidRPr="00507170" w:rsidRDefault="00507170" w:rsidP="00AF21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07170">
        <w:rPr>
          <w:rFonts w:ascii="Times New Roman" w:hAnsi="Times New Roman" w:cs="Times New Roman"/>
          <w:sz w:val="28"/>
          <w:szCs w:val="28"/>
          <w:u w:val="single"/>
          <w:lang w:val="uk-UA"/>
        </w:rPr>
        <w:t>30.08.2019</w:t>
      </w:r>
      <w:r w:rsidR="00325AFF" w:rsidRPr="005071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25AFF" w:rsidRPr="0050717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507170">
        <w:rPr>
          <w:rFonts w:ascii="Times New Roman" w:hAnsi="Times New Roman" w:cs="Times New Roman"/>
          <w:sz w:val="28"/>
          <w:szCs w:val="28"/>
          <w:u w:val="single"/>
          <w:lang w:val="uk-UA"/>
        </w:rPr>
        <w:t>752</w:t>
      </w:r>
      <w:r w:rsidR="00AF21D5" w:rsidRPr="005071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F21D5" w:rsidRPr="00AF21D5" w:rsidRDefault="00AF21D5" w:rsidP="00AF21D5">
      <w:pPr>
        <w:spacing w:after="0" w:line="240" w:lineRule="auto"/>
        <w:ind w:left="5954"/>
        <w:rPr>
          <w:rFonts w:ascii="Times New Roman" w:eastAsia="Calibri" w:hAnsi="Times New Roman" w:cs="Times New Roman"/>
          <w:sz w:val="16"/>
          <w:szCs w:val="16"/>
        </w:rPr>
      </w:pPr>
    </w:p>
    <w:p w:rsidR="00AF21D5" w:rsidRPr="003C1317" w:rsidRDefault="00AF21D5" w:rsidP="003D1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1D5" w:rsidRPr="00325AFF" w:rsidRDefault="00AF21D5" w:rsidP="001D0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1D5">
        <w:rPr>
          <w:rFonts w:ascii="Times New Roman" w:eastAsia="Calibri" w:hAnsi="Times New Roman" w:cs="Times New Roman"/>
          <w:sz w:val="28"/>
          <w:szCs w:val="28"/>
        </w:rPr>
        <w:t>УМОВИ</w:t>
      </w:r>
    </w:p>
    <w:p w:rsidR="00AF21D5" w:rsidRPr="00325AFF" w:rsidRDefault="00AF21D5" w:rsidP="001D02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21D5">
        <w:rPr>
          <w:rFonts w:ascii="Times New Roman" w:hAnsi="Times New Roman" w:cs="Times New Roman"/>
          <w:bCs/>
          <w:sz w:val="28"/>
          <w:szCs w:val="28"/>
        </w:rPr>
        <w:t>конкурсу</w:t>
      </w:r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D5">
        <w:rPr>
          <w:rFonts w:ascii="Times New Roman" w:hAnsi="Times New Roman" w:cs="Times New Roman"/>
          <w:bCs/>
          <w:sz w:val="28"/>
          <w:szCs w:val="28"/>
        </w:rPr>
        <w:t>на</w:t>
      </w:r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зайняття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D5">
        <w:rPr>
          <w:rFonts w:ascii="Times New Roman" w:hAnsi="Times New Roman" w:cs="Times New Roman"/>
          <w:bCs/>
          <w:sz w:val="28"/>
          <w:szCs w:val="28"/>
        </w:rPr>
        <w:t>посади</w:t>
      </w:r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D5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D5">
        <w:rPr>
          <w:rFonts w:ascii="Times New Roman" w:hAnsi="Times New Roman" w:cs="Times New Roman"/>
          <w:bCs/>
          <w:sz w:val="28"/>
          <w:szCs w:val="28"/>
        </w:rPr>
        <w:t>Департаменту</w:t>
      </w:r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60C">
        <w:rPr>
          <w:rFonts w:ascii="Times New Roman" w:hAnsi="Times New Roman" w:cs="Times New Roman"/>
          <w:bCs/>
          <w:sz w:val="28"/>
          <w:szCs w:val="28"/>
          <w:lang w:val="uk-UA"/>
        </w:rPr>
        <w:t>міського благоустрою</w:t>
      </w:r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виконавчого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D5">
        <w:rPr>
          <w:rFonts w:ascii="Times New Roman" w:hAnsi="Times New Roman" w:cs="Times New Roman"/>
          <w:bCs/>
          <w:sz w:val="28"/>
          <w:szCs w:val="28"/>
        </w:rPr>
        <w:t>органу</w:t>
      </w:r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Київської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D5">
        <w:rPr>
          <w:rFonts w:ascii="Times New Roman" w:hAnsi="Times New Roman" w:cs="Times New Roman"/>
          <w:bCs/>
          <w:sz w:val="28"/>
          <w:szCs w:val="28"/>
        </w:rPr>
        <w:t>ради</w:t>
      </w:r>
      <w:r w:rsidRPr="00325AF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Київської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державної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F21D5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AF21D5">
        <w:rPr>
          <w:rFonts w:ascii="Times New Roman" w:hAnsi="Times New Roman" w:cs="Times New Roman"/>
          <w:bCs/>
          <w:sz w:val="28"/>
          <w:szCs w:val="28"/>
        </w:rPr>
        <w:t>іністрації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>) (</w:t>
      </w:r>
      <w:proofErr w:type="spellStart"/>
      <w:r w:rsidRPr="00AF21D5">
        <w:rPr>
          <w:rFonts w:ascii="Times New Roman" w:hAnsi="Times New Roman" w:cs="Times New Roman"/>
          <w:bCs/>
          <w:sz w:val="28"/>
          <w:szCs w:val="28"/>
        </w:rPr>
        <w:t>категорія</w:t>
      </w:r>
      <w:proofErr w:type="spellEnd"/>
      <w:r w:rsidRPr="00325AF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F21D5">
        <w:rPr>
          <w:rFonts w:ascii="Times New Roman" w:hAnsi="Times New Roman" w:cs="Times New Roman"/>
          <w:bCs/>
          <w:sz w:val="28"/>
          <w:szCs w:val="28"/>
        </w:rPr>
        <w:t>Б</w:t>
      </w:r>
      <w:r w:rsidRPr="00325AFF">
        <w:rPr>
          <w:rFonts w:ascii="Times New Roman" w:hAnsi="Times New Roman" w:cs="Times New Roman"/>
          <w:bCs/>
          <w:sz w:val="28"/>
          <w:szCs w:val="28"/>
        </w:rPr>
        <w:t>»)</w:t>
      </w:r>
    </w:p>
    <w:p w:rsidR="00587B04" w:rsidRDefault="00587B04" w:rsidP="001D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146808" w:rsidRPr="00146808" w:rsidRDefault="00146808" w:rsidP="001D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tbl>
      <w:tblPr>
        <w:tblStyle w:val="a4"/>
        <w:tblW w:w="101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756"/>
      </w:tblGrid>
      <w:tr w:rsidR="00B51DD6" w:rsidTr="00B04AF2">
        <w:tc>
          <w:tcPr>
            <w:tcW w:w="10125" w:type="dxa"/>
            <w:gridSpan w:val="4"/>
            <w:hideMark/>
          </w:tcPr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587B04" w:rsidRPr="006D0654" w:rsidRDefault="00587B04" w:rsidP="001D02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51DD6" w:rsidRPr="00F120FD" w:rsidTr="00B04AF2">
        <w:tc>
          <w:tcPr>
            <w:tcW w:w="2660" w:type="dxa"/>
            <w:gridSpan w:val="2"/>
            <w:hideMark/>
          </w:tcPr>
          <w:p w:rsidR="00B51DD6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465" w:type="dxa"/>
            <w:gridSpan w:val="2"/>
            <w:hideMark/>
          </w:tcPr>
          <w:p w:rsidR="00B51DD6" w:rsidRDefault="00AF21D5" w:rsidP="001D029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 Департаменту </w:t>
            </w:r>
            <w:r w:rsidR="00C706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міського благоустрою</w:t>
            </w:r>
            <w:r w:rsidRPr="00AF21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виконавчого органу Київської міської ради (Київської міської державної адміністрації) </w:t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очолює Департамент </w:t>
            </w:r>
            <w:r w:rsidR="00C70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благоустрою </w:t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органу Київської міської ради (Київської міської державної адміністрації) (далі – Департамент), основни</w:t>
            </w:r>
            <w:r w:rsidR="0081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D1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</w:t>
            </w:r>
            <w:r w:rsidR="0081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r w:rsidR="003D1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</w:t>
            </w:r>
            <w:r w:rsidR="00C81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B51DD6"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31503" w:rsidRDefault="00786CE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3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реалізації державної політики у сфері благоустрою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E3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праці на території міста Києва;</w:t>
            </w:r>
          </w:p>
          <w:p w:rsidR="00786CE2" w:rsidRDefault="00786CE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станом благоустрою міста та за дотриманням вимог Закону України «Про благоустрій населених пунктів», Правил благоустрою міста Києва, затверджених рішенням Київської міської ради від 25 грудня 2008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1051/1051 (далі – Правила благоустрою міста Києва), інших нормативно-правових актів, що регулюють відносини у сфері благоустрою;</w:t>
            </w:r>
          </w:p>
          <w:p w:rsidR="00786CE2" w:rsidRDefault="00786CE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розвиткові по поліпшенню стану благоустрою міста;</w:t>
            </w:r>
          </w:p>
          <w:p w:rsidR="00786CE2" w:rsidRDefault="00786CE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вжиття заходів щодо притягнення винних у порушенні законодавства у сфері благоустрою населених пунктів до відповідальності;</w:t>
            </w:r>
          </w:p>
          <w:p w:rsidR="00786CE2" w:rsidRDefault="00786CE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правопорушень у сфері благоустрою міста Києва;</w:t>
            </w:r>
          </w:p>
          <w:p w:rsidR="00786CE2" w:rsidRDefault="00786CE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актів Київської міської ради, виконавчого органу Київської міської ради (Київської міської державної адміністрації) щодо благоустрою міста та охорони праці;</w:t>
            </w:r>
          </w:p>
          <w:p w:rsidR="00786CE2" w:rsidRDefault="00761CF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впровадженню ефективної цілісної регіональної системи запобігання травматизму невиробничого характеру, безпечних виробничих процесів, устаткування;</w:t>
            </w:r>
          </w:p>
          <w:p w:rsidR="00761CF2" w:rsidRDefault="00761CF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у забезпечення працівників засобами індивідуального та колективного захисту;</w:t>
            </w:r>
          </w:p>
          <w:p w:rsidR="00761CF2" w:rsidRDefault="00761CF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професійної підготовки і підвищення кваліфікації спеціалістів (посадових осіб) з питань безпечної життєдіяльності населення;</w:t>
            </w:r>
          </w:p>
          <w:p w:rsidR="00761CF2" w:rsidRDefault="00761CF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надання організаційно-методичної допомоги секторам з питань охорони праці районних в місті Києві державних адміністрацій;</w:t>
            </w:r>
          </w:p>
          <w:p w:rsidR="002362D2" w:rsidRDefault="002362D2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разом зі структурними підрозділами виконавчого органу Київської міської ради (Київської міської державної адміністрації), органами місцевого самоврядування та громадськими організаціями реалізації регіональних програм з метою охорони праці та запобігання нещасним випадкам невиробничого характеру. </w:t>
            </w:r>
          </w:p>
          <w:p w:rsidR="008E779A" w:rsidRPr="008E779A" w:rsidRDefault="008E779A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proofErr w:type="spellEnd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E779A" w:rsidRPr="008E779A" w:rsidRDefault="008E779A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Департаментом, </w:t>
            </w:r>
            <w:proofErr w:type="spellStart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proofErr w:type="spellEnd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>персональну</w:t>
            </w:r>
            <w:proofErr w:type="spellEnd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79A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="00236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Київським міським головою </w:t>
            </w:r>
            <w:r w:rsidRPr="008E779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36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покладених на Департамент завдань</w:t>
            </w:r>
            <w:r w:rsidRPr="008E7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79A" w:rsidRDefault="008E779A" w:rsidP="001D029C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AA00B7">
              <w:rPr>
                <w:sz w:val="28"/>
                <w:szCs w:val="28"/>
                <w:lang w:val="uk-UA"/>
              </w:rPr>
              <w:t>з</w:t>
            </w:r>
            <w:r w:rsidRPr="00E530E6">
              <w:rPr>
                <w:sz w:val="28"/>
                <w:szCs w:val="28"/>
                <w:lang w:val="uk-UA"/>
              </w:rPr>
              <w:t>атверджує положення про підрозділи Департаменту,</w:t>
            </w:r>
            <w:r>
              <w:rPr>
                <w:sz w:val="28"/>
                <w:szCs w:val="28"/>
                <w:lang w:val="uk-UA"/>
              </w:rPr>
              <w:t xml:space="preserve"> розподіляє обов’язки між </w:t>
            </w:r>
            <w:r w:rsidR="002362D2">
              <w:rPr>
                <w:sz w:val="28"/>
                <w:szCs w:val="28"/>
                <w:lang w:val="uk-UA"/>
              </w:rPr>
              <w:t xml:space="preserve">першим заступником та </w:t>
            </w:r>
            <w:r>
              <w:rPr>
                <w:sz w:val="28"/>
                <w:szCs w:val="28"/>
                <w:lang w:val="uk-UA"/>
              </w:rPr>
              <w:t>заступниками директора Департаменту, керівниками підрозділів та визначає ступінь їх відповідальності</w:t>
            </w:r>
            <w:r w:rsidR="002362D2">
              <w:rPr>
                <w:sz w:val="28"/>
                <w:szCs w:val="28"/>
                <w:lang w:val="uk-UA"/>
              </w:rPr>
              <w:t>. Затверджує посадові інструкції працівників Департаменту;</w:t>
            </w:r>
          </w:p>
          <w:p w:rsidR="008E779A" w:rsidRDefault="008E779A" w:rsidP="001D029C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подає на затвердження в установленому штатн</w:t>
            </w:r>
            <w:r w:rsidR="002362D2">
              <w:rPr>
                <w:sz w:val="28"/>
                <w:szCs w:val="28"/>
                <w:lang w:val="uk-UA"/>
              </w:rPr>
              <w:t>ий розпис працівників</w:t>
            </w:r>
            <w:r>
              <w:rPr>
                <w:sz w:val="28"/>
                <w:szCs w:val="28"/>
                <w:lang w:val="uk-UA"/>
              </w:rPr>
              <w:t xml:space="preserve"> Департаменту в  межах граничної чисельності </w:t>
            </w:r>
            <w:r w:rsidR="000D600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фонду оплати праці його працівників;</w:t>
            </w:r>
          </w:p>
          <w:p w:rsidR="008E779A" w:rsidRDefault="008E779A" w:rsidP="001D029C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розпоряджаєтьс</w:t>
            </w:r>
            <w:r w:rsidR="009A087C">
              <w:rPr>
                <w:sz w:val="28"/>
                <w:szCs w:val="28"/>
                <w:lang w:val="uk-UA"/>
              </w:rPr>
              <w:t>я коштами в межах затверджен</w:t>
            </w:r>
            <w:r w:rsidR="000D600D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в установленому порядку кошторис</w:t>
            </w:r>
            <w:r w:rsidR="000D600D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Департаменту, несе персональну відповідальність за їх цільове використання;</w:t>
            </w:r>
          </w:p>
          <w:p w:rsidR="008E779A" w:rsidRDefault="008E779A" w:rsidP="001D029C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A00B7">
              <w:rPr>
                <w:sz w:val="28"/>
                <w:szCs w:val="28"/>
                <w:lang w:val="uk-UA"/>
              </w:rPr>
              <w:t xml:space="preserve">идає </w:t>
            </w:r>
            <w:r>
              <w:rPr>
                <w:sz w:val="28"/>
                <w:szCs w:val="28"/>
                <w:lang w:val="uk-UA"/>
              </w:rPr>
              <w:t xml:space="preserve">у межах </w:t>
            </w:r>
            <w:r w:rsidR="009A087C">
              <w:rPr>
                <w:sz w:val="28"/>
                <w:szCs w:val="28"/>
                <w:lang w:val="uk-UA"/>
              </w:rPr>
              <w:t>компетенції</w:t>
            </w:r>
            <w:r w:rsidRPr="00AA00B7">
              <w:rPr>
                <w:sz w:val="28"/>
                <w:szCs w:val="28"/>
                <w:lang w:val="uk-UA"/>
              </w:rPr>
              <w:t xml:space="preserve"> накази</w:t>
            </w:r>
            <w:r>
              <w:rPr>
                <w:sz w:val="28"/>
                <w:szCs w:val="28"/>
                <w:lang w:val="uk-UA"/>
              </w:rPr>
              <w:t>,</w:t>
            </w:r>
            <w:r w:rsidRPr="00AA00B7">
              <w:rPr>
                <w:sz w:val="28"/>
                <w:szCs w:val="28"/>
                <w:lang w:val="uk-UA"/>
              </w:rPr>
              <w:t xml:space="preserve"> організовує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AA00B7">
              <w:rPr>
                <w:sz w:val="28"/>
                <w:szCs w:val="28"/>
                <w:lang w:val="uk-UA"/>
              </w:rPr>
              <w:t xml:space="preserve"> контрол</w:t>
            </w:r>
            <w:r>
              <w:rPr>
                <w:sz w:val="28"/>
                <w:szCs w:val="28"/>
                <w:lang w:val="uk-UA"/>
              </w:rPr>
              <w:t>ює їх</w:t>
            </w:r>
            <w:r w:rsidRPr="00AA00B7">
              <w:rPr>
                <w:sz w:val="28"/>
                <w:szCs w:val="28"/>
                <w:lang w:val="uk-UA"/>
              </w:rPr>
              <w:t xml:space="preserve"> виконання; </w:t>
            </w:r>
          </w:p>
          <w:p w:rsidR="000D600D" w:rsidRDefault="000D600D" w:rsidP="000D600D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призначає на посади та звільняє з посад працівників Департаменту;</w:t>
            </w:r>
          </w:p>
          <w:p w:rsidR="006B1DE2" w:rsidRDefault="006B1DE2" w:rsidP="001D029C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забезпечує комплексне вирішення питань роботи з керівниками комунальних підприємств, що належать до комунальної власності територіальної громади міста Києва та підпорядковані Департаменту; </w:t>
            </w:r>
          </w:p>
          <w:p w:rsidR="000D600D" w:rsidRDefault="006B1DE2" w:rsidP="001D029C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відповідає за підготовку, своєчасне погодження та укладання контрактів з керівниками підпорядкованих підприємств. Здійснює аналіз виконання умов та показників укладених контрактів з керівниками  цих підприємств, забезпечує своєчасне продовження та розірвання контрактів; </w:t>
            </w:r>
          </w:p>
          <w:p w:rsidR="00C54497" w:rsidRDefault="00C54497" w:rsidP="001D029C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погоджує звільнення з посад</w:t>
            </w:r>
            <w:r w:rsidR="006B1DE2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керівників </w:t>
            </w:r>
            <w:r w:rsidR="006B1DE2">
              <w:rPr>
                <w:sz w:val="28"/>
                <w:szCs w:val="28"/>
                <w:lang w:val="uk-UA"/>
              </w:rPr>
              <w:t>комунальних підприємств, діяльність яких належить до компетенції Департаменту та які пер</w:t>
            </w:r>
            <w:r>
              <w:rPr>
                <w:sz w:val="28"/>
                <w:szCs w:val="28"/>
                <w:lang w:val="uk-UA"/>
              </w:rPr>
              <w:t>едан</w:t>
            </w:r>
            <w:r w:rsidR="006B1DE2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до сфери управління районних в місті Києві державних адміністрацій;</w:t>
            </w:r>
          </w:p>
          <w:p w:rsidR="006B1DE2" w:rsidRDefault="006B1DE2" w:rsidP="001D029C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звертається в установленому порядку з пропозиціями щодо притягнення до дисциплінарної відповідальності працівників структурних підрозділів з питань благоустрою, охорони праці районних в місті Києві державних адміністрацій;</w:t>
            </w:r>
          </w:p>
          <w:p w:rsidR="006B1DE2" w:rsidRPr="00AA00B7" w:rsidRDefault="006B1DE2" w:rsidP="006B1DE2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без довіреності діє від імені Департаменту, представляє в установленому порядку Департамент у відносинах з державними органами, органами місцевого самоврядування, підприємствами, установами і організаціями в Україні, укладає від імені Департаменту угоди (договори), видає довіреності;</w:t>
            </w:r>
          </w:p>
          <w:p w:rsidR="006B1DE2" w:rsidRDefault="006B1DE2" w:rsidP="001D029C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результатами співбесіди та за погодженням із заступником голови Київської міської державної адміністрації згідно з розподілом </w:t>
            </w:r>
            <w:r w:rsidR="00BB7A4F">
              <w:rPr>
                <w:sz w:val="28"/>
                <w:szCs w:val="28"/>
                <w:lang w:val="uk-UA"/>
              </w:rPr>
              <w:t>обов’язків</w:t>
            </w:r>
            <w:r>
              <w:rPr>
                <w:sz w:val="28"/>
                <w:szCs w:val="28"/>
                <w:lang w:val="uk-UA"/>
              </w:rPr>
              <w:t xml:space="preserve"> призначає громадських інспекторів благоустрою міста Києва та позбавляє їх права виконувати </w:t>
            </w:r>
            <w:r w:rsidR="00BB7A4F">
              <w:rPr>
                <w:sz w:val="28"/>
                <w:szCs w:val="28"/>
                <w:lang w:val="uk-UA"/>
              </w:rPr>
              <w:t>обов’язки</w:t>
            </w:r>
            <w:r>
              <w:rPr>
                <w:sz w:val="28"/>
                <w:szCs w:val="28"/>
                <w:lang w:val="uk-UA"/>
              </w:rPr>
              <w:t xml:space="preserve"> громадського інспектора благоустрою</w:t>
            </w:r>
            <w:r w:rsidR="00BB7A4F">
              <w:rPr>
                <w:sz w:val="28"/>
                <w:szCs w:val="28"/>
                <w:lang w:val="uk-UA"/>
              </w:rPr>
              <w:t xml:space="preserve"> з анулюванням відповідного посвідчення;</w:t>
            </w:r>
          </w:p>
          <w:p w:rsidR="00C54497" w:rsidRDefault="00C54497" w:rsidP="001D029C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проводить особистий прийом громадян з питань, що належать до </w:t>
            </w:r>
            <w:r w:rsidR="00BB7A4F">
              <w:rPr>
                <w:sz w:val="28"/>
                <w:szCs w:val="28"/>
                <w:lang w:val="uk-UA"/>
              </w:rPr>
              <w:t>компетенції</w:t>
            </w:r>
            <w:r>
              <w:rPr>
                <w:sz w:val="28"/>
                <w:szCs w:val="28"/>
                <w:lang w:val="uk-UA"/>
              </w:rPr>
              <w:t xml:space="preserve"> Департаменту</w:t>
            </w:r>
            <w:r w:rsidR="00BB7A4F">
              <w:rPr>
                <w:sz w:val="28"/>
                <w:szCs w:val="28"/>
                <w:lang w:val="uk-UA"/>
              </w:rPr>
              <w:t>, здійснює заходи щодо розгляду їх звернень, пропозицій;</w:t>
            </w:r>
          </w:p>
          <w:p w:rsidR="00BB7A4F" w:rsidRDefault="00BB7A4F" w:rsidP="001D029C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забезпечує у межах повноважень підготовку проектів рішень Київської міської ради та розпоряджень виконавчого органу Київської міської ради (Київської міської державної адміністрації);</w:t>
            </w:r>
          </w:p>
          <w:p w:rsidR="00BB7A4F" w:rsidRDefault="00BB7A4F" w:rsidP="001D029C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планує роботу Департаменту, вносить пропозиції щодо формування планів роботи виконавчого органу Київської міської ради (Київської міської державної адміністрації);</w:t>
            </w:r>
          </w:p>
          <w:p w:rsidR="00BB7A4F" w:rsidRDefault="00BB7A4F" w:rsidP="001D029C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звітує перед Київським міським головою про виконання покладених на Департамент завдань;</w:t>
            </w:r>
          </w:p>
          <w:p w:rsidR="00BB7A4F" w:rsidRDefault="00BB7A4F" w:rsidP="001D029C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звітує перед Київською міською радою в порядку, встановленому Регламентом Київської міської ради;</w:t>
            </w:r>
          </w:p>
          <w:p w:rsidR="00BB7A4F" w:rsidRDefault="00BB7A4F" w:rsidP="001D029C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вживає заходів до удосконалення організації та підвищення ефективності роботи Департаменту;</w:t>
            </w:r>
          </w:p>
          <w:p w:rsidR="00BB7A4F" w:rsidRPr="00AA00B7" w:rsidRDefault="00BB7A4F" w:rsidP="001D029C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організовує роботу з підвищення рівня професійної компетентності державних службовців Департаменту;</w:t>
            </w:r>
          </w:p>
          <w:p w:rsidR="00BB7A4F" w:rsidRDefault="00C54497" w:rsidP="00BB7A4F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забезпечує дотримання працівниками Департаменту правил внутрішнього трудового розпорядку та виконавської дисципліни;</w:t>
            </w:r>
          </w:p>
          <w:p w:rsidR="00BB7A4F" w:rsidRDefault="00BB7A4F" w:rsidP="00BB7A4F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організовує в Департаменті забезпечення державної таємниці. Здійснює забезпечення охорони державної таємниці, постійний контроль за забезпеченням охорони державної таємниці в межах своїх повноважень, передбачених Законом України «Про державну таємницю». Зберігає відому йому державну таємницю та іншу інформацію, яка згідно з законодавством України не підлягає розголошенню;</w:t>
            </w:r>
          </w:p>
          <w:p w:rsidR="00587B04" w:rsidRPr="00507170" w:rsidRDefault="00B51DD6" w:rsidP="00BB7A4F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uk-UA" w:eastAsia="zh-CN"/>
              </w:rPr>
              <w:t>здійснює інші, передбачені законодавством, повноваження.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669BE" w:rsidRPr="00507170" w:rsidRDefault="00B669BE" w:rsidP="00BB7A4F">
            <w:pPr>
              <w:pStyle w:val="a7"/>
              <w:spacing w:before="0" w:beforeAutospacing="0" w:after="0" w:afterAutospacing="0"/>
              <w:ind w:firstLine="318"/>
              <w:jc w:val="both"/>
              <w:rPr>
                <w:sz w:val="22"/>
                <w:szCs w:val="22"/>
              </w:rPr>
            </w:pPr>
          </w:p>
        </w:tc>
      </w:tr>
      <w:tr w:rsidR="00B51DD6" w:rsidRPr="00AF21D5" w:rsidTr="00B04AF2">
        <w:tc>
          <w:tcPr>
            <w:tcW w:w="2660" w:type="dxa"/>
            <w:gridSpan w:val="2"/>
            <w:hideMark/>
          </w:tcPr>
          <w:p w:rsidR="00B51DD6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465" w:type="dxa"/>
            <w:gridSpan w:val="2"/>
            <w:hideMark/>
          </w:tcPr>
          <w:p w:rsidR="00AF21D5" w:rsidRPr="00AF21D5" w:rsidRDefault="00AF21D5" w:rsidP="001D029C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директора Департаменту </w:t>
            </w:r>
            <w:r w:rsidR="00C70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благоустрою</w:t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виконавчого органу Київської міської ради </w:t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(Київської міської державної адміністрації)</w:t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 </w:t>
            </w:r>
            <w:r w:rsidR="001268D1" w:rsidRPr="00126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10 990,00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коефіцієнтах), затвердженої постановою Кабінету Міністрів України від 18 січня 2017 року № 15 (в редакції постанови Кабінету Міністрів України від 06 лютого </w:t>
            </w: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2019 року № 102);</w:t>
            </w:r>
          </w:p>
          <w:p w:rsidR="00AF21D5" w:rsidRPr="00AF21D5" w:rsidRDefault="00AF21D5" w:rsidP="001D02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надбавки, доплати та премії – передбачені Законом України «Про державну службу».</w:t>
            </w:r>
          </w:p>
          <w:p w:rsidR="006B20D5" w:rsidRDefault="006B20D5" w:rsidP="001D029C">
            <w:pPr>
              <w:ind w:firstLine="28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B51DD6" w:rsidTr="00B04AF2">
        <w:tc>
          <w:tcPr>
            <w:tcW w:w="2660" w:type="dxa"/>
            <w:gridSpan w:val="2"/>
            <w:hideMark/>
          </w:tcPr>
          <w:p w:rsidR="006B20D5" w:rsidRPr="006B20D5" w:rsidRDefault="00B51DD6" w:rsidP="001D029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465" w:type="dxa"/>
            <w:gridSpan w:val="2"/>
          </w:tcPr>
          <w:p w:rsidR="003D1004" w:rsidRPr="00507170" w:rsidRDefault="003D1004" w:rsidP="001D029C">
            <w:pPr>
              <w:ind w:firstLine="318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34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посаду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працівника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зберігається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B669BE" w:rsidRPr="00507170" w:rsidRDefault="00B669BE" w:rsidP="001D029C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DD6" w:rsidTr="00B04AF2">
        <w:tc>
          <w:tcPr>
            <w:tcW w:w="2660" w:type="dxa"/>
            <w:gridSpan w:val="2"/>
            <w:hideMark/>
          </w:tcPr>
          <w:p w:rsidR="00B51DD6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5AF" w:rsidRDefault="00CC55AF" w:rsidP="007658B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5" w:type="dxa"/>
            <w:gridSpan w:val="2"/>
            <w:hideMark/>
          </w:tcPr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1"/>
            <w:bookmarkEnd w:id="1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2"/>
            <w:bookmarkEnd w:id="2"/>
            <w:r>
              <w:rPr>
                <w:color w:val="000000"/>
                <w:sz w:val="28"/>
                <w:szCs w:val="28"/>
              </w:rPr>
              <w:t>2) 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3"/>
            <w:bookmarkEnd w:id="3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4"/>
            <w:bookmarkEnd w:id="4"/>
            <w:r>
              <w:rPr>
                <w:color w:val="000000"/>
                <w:sz w:val="28"/>
                <w:szCs w:val="28"/>
              </w:rPr>
              <w:t>4) копію (копії) документа (документів) про освіту;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75"/>
            <w:bookmarkEnd w:id="5"/>
            <w:r>
              <w:rPr>
                <w:color w:val="000000"/>
                <w:sz w:val="28"/>
                <w:szCs w:val="28"/>
              </w:rPr>
              <w:t>6)</w:t>
            </w:r>
            <w:bookmarkStart w:id="6" w:name="n76"/>
            <w:bookmarkEnd w:id="6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78"/>
            <w:bookmarkStart w:id="8" w:name="n77"/>
            <w:bookmarkEnd w:id="7"/>
            <w:bookmarkEnd w:id="8"/>
            <w:r>
              <w:rPr>
                <w:color w:val="000000"/>
                <w:sz w:val="28"/>
                <w:szCs w:val="28"/>
              </w:rPr>
              <w:t>7) декларацію особи, уповноваженої на виконання функцій держави або місцевого самоврядування, за минулий рік;</w:t>
            </w:r>
          </w:p>
          <w:p w:rsidR="00B51DD6" w:rsidRDefault="00B51DD6" w:rsidP="001D02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за</w:t>
            </w:r>
            <w:r w:rsidR="00D0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B51DD6" w:rsidRDefault="00B51DD6" w:rsidP="001D029C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lastRenderedPageBreak/>
              <w:t>рекомендації, наукові публікації та інші).</w:t>
            </w:r>
          </w:p>
          <w:p w:rsidR="006D0654" w:rsidRDefault="00B51DD6" w:rsidP="001D029C">
            <w:pPr>
              <w:tabs>
                <w:tab w:val="left" w:pos="-108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C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 w:rsidRPr="00CC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приймаються</w:t>
            </w:r>
            <w:proofErr w:type="spellEnd"/>
            <w:r w:rsidRPr="00CC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18.00 </w:t>
            </w:r>
            <w:r w:rsidR="00FA50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17 </w:t>
            </w:r>
            <w:proofErr w:type="spellStart"/>
            <w:r w:rsidR="00D87B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вересн</w:t>
            </w:r>
            <w:proofErr w:type="spellEnd"/>
            <w:r w:rsidR="00E84282" w:rsidRPr="00CC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C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року.</w:t>
            </w:r>
          </w:p>
          <w:p w:rsidR="00CC55AF" w:rsidRPr="00CC55AF" w:rsidRDefault="00B669BE" w:rsidP="00B669BE">
            <w:pPr>
              <w:tabs>
                <w:tab w:val="left" w:pos="-108"/>
                <w:tab w:val="left" w:pos="2830"/>
              </w:tabs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ab/>
            </w:r>
          </w:p>
        </w:tc>
      </w:tr>
      <w:tr w:rsidR="003D1004" w:rsidTr="00B04AF2">
        <w:tc>
          <w:tcPr>
            <w:tcW w:w="2660" w:type="dxa"/>
            <w:gridSpan w:val="2"/>
          </w:tcPr>
          <w:p w:rsidR="003D1004" w:rsidRDefault="003D1004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465" w:type="dxa"/>
            <w:gridSpan w:val="2"/>
          </w:tcPr>
          <w:p w:rsidR="003D1004" w:rsidRPr="00507170" w:rsidRDefault="003D1004" w:rsidP="001D029C">
            <w:pPr>
              <w:tabs>
                <w:tab w:val="left" w:pos="-108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B669BE" w:rsidRPr="00507170" w:rsidRDefault="00B669BE" w:rsidP="001D029C">
            <w:pPr>
              <w:tabs>
                <w:tab w:val="left" w:pos="-108"/>
              </w:tabs>
              <w:ind w:firstLine="459"/>
              <w:jc w:val="both"/>
              <w:rPr>
                <w:color w:val="000000"/>
              </w:rPr>
            </w:pPr>
          </w:p>
        </w:tc>
      </w:tr>
      <w:tr w:rsidR="00B51DD6" w:rsidTr="00B669BE">
        <w:tc>
          <w:tcPr>
            <w:tcW w:w="2660" w:type="dxa"/>
            <w:gridSpan w:val="2"/>
            <w:hideMark/>
          </w:tcPr>
          <w:p w:rsidR="00CC55AF" w:rsidRPr="00507170" w:rsidRDefault="00CC55AF" w:rsidP="001D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51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час і дата початку</w:t>
            </w:r>
            <w:r w:rsidR="00B51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тестування</w:t>
            </w:r>
          </w:p>
          <w:p w:rsidR="00B669BE" w:rsidRPr="00507170" w:rsidRDefault="00B669BE" w:rsidP="001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  <w:gridSpan w:val="2"/>
            <w:hideMark/>
          </w:tcPr>
          <w:p w:rsidR="00B51DD6" w:rsidRDefault="00B51DD6" w:rsidP="00602294">
            <w:pPr>
              <w:tabs>
                <w:tab w:val="left" w:pos="2875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3D1004" w:rsidRPr="003D1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D1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  <w:r w:rsidR="00E84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 о 1</w:t>
            </w:r>
            <w:r w:rsidR="00FA5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5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51DD6" w:rsidTr="00B45067">
        <w:tc>
          <w:tcPr>
            <w:tcW w:w="2660" w:type="dxa"/>
            <w:gridSpan w:val="2"/>
            <w:hideMark/>
          </w:tcPr>
          <w:p w:rsidR="00B51DD6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65" w:type="dxa"/>
            <w:gridSpan w:val="2"/>
            <w:hideMark/>
          </w:tcPr>
          <w:p w:rsidR="00B51DD6" w:rsidRDefault="00AF21D5" w:rsidP="001D02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Пухальська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Анатоліївна</w:t>
            </w:r>
            <w:r w:rsidR="00B51D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+38 (044) 202-7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B51D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  <w:r w:rsidR="00B51D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адреса електронної пошти </w:t>
            </w:r>
            <w:proofErr w:type="spellStart"/>
            <w:r w:rsidR="00B51D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 w:rsidR="00B51D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="00B51D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="00B51D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="00B51D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B51DD6" w:rsidTr="00B45067">
        <w:tc>
          <w:tcPr>
            <w:tcW w:w="10125" w:type="dxa"/>
            <w:gridSpan w:val="4"/>
          </w:tcPr>
          <w:p w:rsidR="00B669BE" w:rsidRDefault="00C84B4B" w:rsidP="00B669BE">
            <w:pPr>
              <w:tabs>
                <w:tab w:val="left" w:pos="3435"/>
                <w:tab w:val="left" w:pos="3832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B6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B51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B51DD6" w:rsidRPr="008577AC" w:rsidRDefault="008577AC" w:rsidP="00B669BE">
            <w:pPr>
              <w:tabs>
                <w:tab w:val="left" w:pos="3435"/>
                <w:tab w:val="center" w:pos="4954"/>
                <w:tab w:val="left" w:pos="6600"/>
              </w:tabs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</w:tr>
      <w:tr w:rsidR="00B51DD6" w:rsidTr="00B45067">
        <w:tc>
          <w:tcPr>
            <w:tcW w:w="534" w:type="dxa"/>
            <w:hideMark/>
          </w:tcPr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gridSpan w:val="2"/>
            <w:hideMark/>
          </w:tcPr>
          <w:p w:rsidR="00B51DD6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756" w:type="dxa"/>
            <w:hideMark/>
          </w:tcPr>
          <w:p w:rsidR="00B51DD6" w:rsidRDefault="00B51DD6" w:rsidP="001D02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D1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ступінь вищої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не нижче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магістра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87B04" w:rsidRPr="00587B04" w:rsidRDefault="00587B04" w:rsidP="001D029C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51DD6" w:rsidTr="00B45067">
        <w:tc>
          <w:tcPr>
            <w:tcW w:w="534" w:type="dxa"/>
            <w:hideMark/>
          </w:tcPr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5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gridSpan w:val="2"/>
            <w:hideMark/>
          </w:tcPr>
          <w:p w:rsidR="00B51DD6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756" w:type="dxa"/>
            <w:hideMark/>
          </w:tcPr>
          <w:p w:rsidR="00B51DD6" w:rsidRDefault="00B51DD6" w:rsidP="001D029C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587B04" w:rsidRPr="008577AC" w:rsidRDefault="00587B04" w:rsidP="001D029C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B51DD6" w:rsidTr="00B04AF2">
        <w:tc>
          <w:tcPr>
            <w:tcW w:w="534" w:type="dxa"/>
            <w:hideMark/>
          </w:tcPr>
          <w:p w:rsidR="008577AC" w:rsidRPr="008577AC" w:rsidRDefault="00B51DD6" w:rsidP="001D02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5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577AC" w:rsidRDefault="008577AC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8577AC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756" w:type="dxa"/>
            <w:hideMark/>
          </w:tcPr>
          <w:p w:rsidR="008577AC" w:rsidRPr="008577AC" w:rsidRDefault="00B51DD6" w:rsidP="001D029C">
            <w:pPr>
              <w:ind w:firstLine="318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  <w:p w:rsidR="008577AC" w:rsidRDefault="008577AC" w:rsidP="001D02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004" w:rsidTr="00B04AF2">
        <w:tc>
          <w:tcPr>
            <w:tcW w:w="534" w:type="dxa"/>
          </w:tcPr>
          <w:p w:rsidR="003D1004" w:rsidRDefault="003D100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  <w:gridSpan w:val="2"/>
          </w:tcPr>
          <w:p w:rsidR="003D1004" w:rsidRDefault="003D1004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756" w:type="dxa"/>
          </w:tcPr>
          <w:p w:rsidR="003D1004" w:rsidRDefault="003D1004" w:rsidP="00B669BE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вимагається </w:t>
            </w:r>
          </w:p>
        </w:tc>
      </w:tr>
      <w:tr w:rsidR="00B51DD6" w:rsidTr="00B04AF2">
        <w:tc>
          <w:tcPr>
            <w:tcW w:w="10125" w:type="dxa"/>
            <w:gridSpan w:val="4"/>
          </w:tcPr>
          <w:p w:rsidR="00B51DD6" w:rsidRPr="008577AC" w:rsidRDefault="00B51DD6" w:rsidP="001D02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7658B4" w:rsidRDefault="00B669BE" w:rsidP="00B669BE">
            <w:pPr>
              <w:tabs>
                <w:tab w:val="center" w:pos="4954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B51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658B4" w:rsidRPr="007658B4" w:rsidRDefault="007658B4" w:rsidP="007658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C84B4B" w:rsidTr="00B04AF2">
        <w:tc>
          <w:tcPr>
            <w:tcW w:w="10125" w:type="dxa"/>
            <w:gridSpan w:val="4"/>
          </w:tcPr>
          <w:p w:rsidR="00C84B4B" w:rsidRDefault="00C84B4B" w:rsidP="001D029C">
            <w:pPr>
              <w:tabs>
                <w:tab w:val="left" w:pos="0"/>
                <w:tab w:val="center" w:pos="5113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Вимога                                       Компоненти вимоги</w:t>
            </w:r>
          </w:p>
          <w:p w:rsidR="007658B4" w:rsidRPr="007658B4" w:rsidRDefault="007658B4" w:rsidP="001D029C">
            <w:pPr>
              <w:tabs>
                <w:tab w:val="left" w:pos="0"/>
                <w:tab w:val="center" w:pos="5113"/>
              </w:tabs>
              <w:ind w:firstLine="318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51DD6" w:rsidRPr="006D0654" w:rsidTr="00B04AF2">
        <w:tc>
          <w:tcPr>
            <w:tcW w:w="534" w:type="dxa"/>
          </w:tcPr>
          <w:p w:rsidR="00B51DD6" w:rsidRPr="006D0654" w:rsidRDefault="00B51DD6" w:rsidP="001D02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0006D" w:rsidRPr="00A0006D" w:rsidRDefault="00B51DD6" w:rsidP="001D029C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1D6C5A" w:rsidRDefault="001D6C5A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654" w:rsidRDefault="006D065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654" w:rsidRDefault="006D065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654" w:rsidRDefault="006D065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654" w:rsidRDefault="006D065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E61" w:rsidRDefault="000C7E61" w:rsidP="001D02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0C7E61" w:rsidRPr="008577AC" w:rsidRDefault="000C7E61" w:rsidP="001D02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6D0654" w:rsidRDefault="006D065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B51DD6" w:rsidRPr="006D0654" w:rsidRDefault="00B51DD6" w:rsidP="001D029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0006D" w:rsidRDefault="00B51DD6" w:rsidP="001D029C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  <w:p w:rsidR="00C84B4B" w:rsidRPr="006124F6" w:rsidRDefault="00C84B4B" w:rsidP="001D029C">
            <w:pPr>
              <w:tabs>
                <w:tab w:val="right" w:pos="2619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A0006D" w:rsidRPr="00A0006D" w:rsidRDefault="00A0006D" w:rsidP="001D029C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124F6" w:rsidRPr="001268D1" w:rsidRDefault="006124F6" w:rsidP="001D029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124F6" w:rsidRPr="001268D1" w:rsidRDefault="006124F6" w:rsidP="001D029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124F6" w:rsidRPr="001268D1" w:rsidRDefault="006124F6" w:rsidP="001D029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124F6" w:rsidRPr="001268D1" w:rsidRDefault="006124F6" w:rsidP="001D029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124F6" w:rsidRPr="001268D1" w:rsidRDefault="006124F6" w:rsidP="001D029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6C5A" w:rsidRDefault="001D6C5A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654" w:rsidRDefault="006D0654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654" w:rsidRDefault="006D0654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654" w:rsidRPr="008577AC" w:rsidRDefault="006D0654" w:rsidP="001D02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0C7E61" w:rsidRDefault="000C7E61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E61" w:rsidRDefault="000C7E61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6" w:type="dxa"/>
          </w:tcPr>
          <w:p w:rsidR="00A0006D" w:rsidRDefault="001D029C" w:rsidP="001D029C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аналітичні здібності</w:t>
            </w:r>
            <w:r w:rsidR="00A0006D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A0006D" w:rsidRDefault="001D029C" w:rsidP="001D029C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діалогове спілкування (письмове і усне)</w:t>
            </w:r>
            <w:r w:rsidR="00A0006D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1D029C" w:rsidRDefault="001D6C5A" w:rsidP="001D029C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1D029C">
              <w:rPr>
                <w:color w:val="000000"/>
                <w:sz w:val="28"/>
                <w:szCs w:val="28"/>
                <w:lang w:val="uk-UA" w:eastAsia="en-US"/>
              </w:rPr>
              <w:t xml:space="preserve">навички </w:t>
            </w:r>
            <w:r w:rsidR="00A0006D" w:rsidRPr="001D029C">
              <w:rPr>
                <w:color w:val="000000"/>
                <w:sz w:val="28"/>
                <w:szCs w:val="28"/>
                <w:lang w:val="uk-UA" w:eastAsia="en-US"/>
              </w:rPr>
              <w:t>управління;</w:t>
            </w:r>
          </w:p>
          <w:p w:rsidR="001D029C" w:rsidRDefault="001D029C" w:rsidP="001D029C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лідерські якості;</w:t>
            </w:r>
          </w:p>
          <w:p w:rsidR="001D029C" w:rsidRDefault="006F21E2" w:rsidP="001D029C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організаторські здібності;</w:t>
            </w:r>
          </w:p>
          <w:p w:rsidR="006F21E2" w:rsidRDefault="006F21E2" w:rsidP="001D029C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C84B4B" w:rsidRPr="001D029C" w:rsidRDefault="00C84B4B" w:rsidP="001D029C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1D029C">
              <w:rPr>
                <w:color w:val="000000"/>
                <w:sz w:val="28"/>
                <w:szCs w:val="28"/>
                <w:lang w:val="uk-UA" w:eastAsia="en-US"/>
              </w:rPr>
              <w:t>вміння планувати роботу, визначати пріоритети;</w:t>
            </w:r>
          </w:p>
          <w:p w:rsidR="000C7E61" w:rsidRDefault="00C84B4B" w:rsidP="006F21E2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вміння аргумент</w:t>
            </w:r>
            <w:r w:rsidR="006F21E2">
              <w:rPr>
                <w:color w:val="000000"/>
                <w:sz w:val="28"/>
                <w:szCs w:val="28"/>
                <w:lang w:val="uk-UA" w:eastAsia="en-US"/>
              </w:rPr>
              <w:t>овано доводити власну точку зору</w:t>
            </w:r>
          </w:p>
        </w:tc>
      </w:tr>
      <w:tr w:rsidR="003D1004" w:rsidRPr="00507170" w:rsidTr="00B04AF2">
        <w:tc>
          <w:tcPr>
            <w:tcW w:w="534" w:type="dxa"/>
          </w:tcPr>
          <w:p w:rsidR="003D1004" w:rsidRDefault="003D100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3D1004" w:rsidRDefault="003D100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3D1004" w:rsidRDefault="003D1004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3D1004" w:rsidRDefault="003D1004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004" w:rsidRDefault="003D1004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6" w:type="dxa"/>
          </w:tcPr>
          <w:p w:rsidR="006F21E2" w:rsidRDefault="003D1004" w:rsidP="00B669BE">
            <w:pPr>
              <w:pStyle w:val="1"/>
              <w:spacing w:after="0"/>
              <w:ind w:left="33"/>
              <w:jc w:val="both"/>
              <w:rPr>
                <w:strike/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досвідчений користувач M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icrosoft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Offise</w:t>
            </w:r>
            <w:proofErr w:type="spellEnd"/>
            <w:r w:rsidRPr="001D6C5A">
              <w:rPr>
                <w:color w:val="000000"/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 w:rsidRPr="001D6C5A">
              <w:rPr>
                <w:color w:val="000000"/>
                <w:sz w:val="28"/>
                <w:szCs w:val="28"/>
                <w:lang w:val="uk-UA" w:eastAsia="en-US"/>
              </w:rPr>
              <w:t>)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, вільне користування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інформаційно-комунікаційними технологіями</w:t>
            </w:r>
          </w:p>
          <w:p w:rsidR="00B669BE" w:rsidRPr="00B669BE" w:rsidRDefault="00B669BE" w:rsidP="00B669BE">
            <w:pPr>
              <w:pStyle w:val="1"/>
              <w:spacing w:after="0"/>
              <w:ind w:left="33"/>
              <w:jc w:val="both"/>
              <w:rPr>
                <w:strike/>
                <w:sz w:val="18"/>
                <w:szCs w:val="18"/>
                <w:lang w:val="uk-UA"/>
              </w:rPr>
            </w:pPr>
          </w:p>
        </w:tc>
      </w:tr>
      <w:tr w:rsidR="003D1004" w:rsidRPr="003D1004" w:rsidTr="00B04AF2">
        <w:tc>
          <w:tcPr>
            <w:tcW w:w="534" w:type="dxa"/>
          </w:tcPr>
          <w:p w:rsidR="003D1004" w:rsidRDefault="003D100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  <w:p w:rsidR="003D1004" w:rsidRDefault="003D1004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3D1004" w:rsidRDefault="003D1004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4E35B8" w:rsidRDefault="004E35B8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35B8" w:rsidRPr="004E35B8" w:rsidRDefault="004E35B8" w:rsidP="004E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35B8" w:rsidRDefault="004E35B8" w:rsidP="004E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35B8" w:rsidRDefault="004E35B8" w:rsidP="004E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004" w:rsidRPr="004E35B8" w:rsidRDefault="003D1004" w:rsidP="004E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6" w:type="dxa"/>
          </w:tcPr>
          <w:p w:rsidR="003D1004" w:rsidRDefault="003D1004" w:rsidP="001D029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 w:rsidR="006F21E2">
              <w:rPr>
                <w:color w:val="000000"/>
                <w:sz w:val="28"/>
                <w:szCs w:val="28"/>
                <w:lang w:val="uk-UA" w:eastAsia="en-US"/>
              </w:rPr>
              <w:t>інноваційність</w:t>
            </w:r>
            <w:proofErr w:type="spellEnd"/>
            <w:r w:rsidR="006F21E2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3D1004" w:rsidRDefault="006F21E2" w:rsidP="001D029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ініціативність</w:t>
            </w:r>
            <w:r w:rsidR="003D1004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3D1004" w:rsidRDefault="006F21E2" w:rsidP="001D029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тактовність</w:t>
            </w:r>
            <w:r w:rsidR="003D1004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3D1004" w:rsidRDefault="006F21E2" w:rsidP="001D029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емоційна стабільність</w:t>
            </w:r>
            <w:r w:rsidR="003D1004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3D1004" w:rsidRDefault="006F21E2" w:rsidP="001D029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комунікабельність</w:t>
            </w:r>
            <w:r w:rsidR="003D1004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6F21E2" w:rsidRDefault="006F21E2" w:rsidP="001D029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повага до інших,</w:t>
            </w:r>
          </w:p>
          <w:p w:rsidR="006F21E2" w:rsidRDefault="006F21E2" w:rsidP="001D029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відповідальність;</w:t>
            </w:r>
          </w:p>
          <w:p w:rsidR="003D1004" w:rsidRDefault="006F21E2" w:rsidP="006F21E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неупередженість</w:t>
            </w:r>
          </w:p>
        </w:tc>
      </w:tr>
      <w:tr w:rsidR="00B51DD6" w:rsidTr="00B04AF2">
        <w:tc>
          <w:tcPr>
            <w:tcW w:w="10125" w:type="dxa"/>
            <w:gridSpan w:val="4"/>
          </w:tcPr>
          <w:p w:rsidR="00146808" w:rsidRPr="00146808" w:rsidRDefault="00146808" w:rsidP="001D029C">
            <w:pPr>
              <w:tabs>
                <w:tab w:val="left" w:pos="432"/>
                <w:tab w:val="left" w:pos="3615"/>
                <w:tab w:val="center" w:pos="4954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  <w:p w:rsidR="00B51DD6" w:rsidRDefault="00C84B4B" w:rsidP="001D029C">
            <w:pPr>
              <w:tabs>
                <w:tab w:val="left" w:pos="432"/>
                <w:tab w:val="left" w:pos="3615"/>
                <w:tab w:val="left" w:pos="3720"/>
                <w:tab w:val="center" w:pos="495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 w:rsidR="00B51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B51DD6" w:rsidRDefault="00B51DD6" w:rsidP="001D029C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B51DD6" w:rsidTr="00B04AF2">
        <w:tc>
          <w:tcPr>
            <w:tcW w:w="534" w:type="dxa"/>
          </w:tcPr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B51DD6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756" w:type="dxa"/>
          </w:tcPr>
          <w:p w:rsidR="00B51DD6" w:rsidRDefault="00B51DD6" w:rsidP="001D029C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B51DD6" w:rsidRDefault="00B51DD6" w:rsidP="001D029C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B51DD6" w:rsidTr="00B04AF2">
        <w:tc>
          <w:tcPr>
            <w:tcW w:w="534" w:type="dxa"/>
            <w:hideMark/>
          </w:tcPr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B51DD6" w:rsidRDefault="00B51DD6" w:rsidP="001D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56" w:type="dxa"/>
          </w:tcPr>
          <w:p w:rsidR="00B51DD6" w:rsidRDefault="00B51DD6" w:rsidP="001D029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B51DD6" w:rsidRDefault="00B51DD6" w:rsidP="001D029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B51DD6" w:rsidRDefault="00B51DD6" w:rsidP="001D029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B51DD6" w:rsidRPr="00507170" w:rsidRDefault="00B51DD6" w:rsidP="001D029C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B669BE" w:rsidRPr="00507170" w:rsidRDefault="00B669BE" w:rsidP="001D029C">
            <w:pPr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51DD6" w:rsidRPr="006124F6" w:rsidTr="00B04AF2">
        <w:tc>
          <w:tcPr>
            <w:tcW w:w="534" w:type="dxa"/>
          </w:tcPr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B51DD6" w:rsidRDefault="00B51DD6" w:rsidP="001D02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B51DD6" w:rsidRDefault="00B51DD6" w:rsidP="001D02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 w:rsidP="001D02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56" w:type="dxa"/>
            <w:hideMark/>
          </w:tcPr>
          <w:p w:rsidR="00B51DD6" w:rsidRDefault="00B51DD6" w:rsidP="001D029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B51DD6" w:rsidRPr="006124F6" w:rsidRDefault="00D05CAE" w:rsidP="001D029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51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6124F6" w:rsidRDefault="006F21E2" w:rsidP="001D029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столицю України – місто-герой Київ</w:t>
            </w:r>
            <w:r w:rsidR="00612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9406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E06486" w:rsidRDefault="006124F6" w:rsidP="001D029C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E06486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місцеві державні адміністрації</w:t>
            </w:r>
            <w:r w:rsidR="00E06486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», </w:t>
            </w:r>
          </w:p>
          <w:p w:rsidR="006F21E2" w:rsidRDefault="006F21E2" w:rsidP="001D029C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«Про звернення громадян»;</w:t>
            </w:r>
          </w:p>
          <w:p w:rsidR="006F21E2" w:rsidRDefault="006F21E2" w:rsidP="001D029C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«Про місцеве самоврядування в Україні»;</w:t>
            </w:r>
          </w:p>
          <w:p w:rsidR="006F21E2" w:rsidRDefault="006F21E2" w:rsidP="001D029C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«Про благоустрій населених пунктів»;</w:t>
            </w:r>
          </w:p>
          <w:p w:rsidR="006F21E2" w:rsidRDefault="006F21E2" w:rsidP="001D029C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«Про регулювання містобудівної документації»;</w:t>
            </w:r>
          </w:p>
          <w:p w:rsidR="0094062B" w:rsidRDefault="006F21E2" w:rsidP="001D029C">
            <w:pPr>
              <w:tabs>
                <w:tab w:val="left" w:pos="490"/>
              </w:tabs>
              <w:suppressAutoHyphens/>
              <w:ind w:firstLine="3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«Про </w:t>
            </w:r>
            <w:r w:rsidR="00E31503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охорону праці</w:t>
            </w:r>
            <w:r w:rsidR="0094062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»,</w:t>
            </w:r>
          </w:p>
          <w:p w:rsidR="002704E9" w:rsidRDefault="002704E9" w:rsidP="002704E9">
            <w:pPr>
              <w:tabs>
                <w:tab w:val="left" w:pos="490"/>
              </w:tabs>
              <w:suppressAutoHyphens/>
              <w:ind w:firstLine="3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 Постанови Кабінету Міністрів України від 17 квітня 2019 року № 337 «Про затвердження Порядку розслідування та обліку нещасних випадків, професійних захворювань та аварій на виробництві»;</w:t>
            </w:r>
          </w:p>
          <w:p w:rsidR="00E31503" w:rsidRDefault="002704E9" w:rsidP="00E31503">
            <w:pPr>
              <w:tabs>
                <w:tab w:val="left" w:pos="490"/>
              </w:tabs>
              <w:suppressAutoHyphens/>
              <w:ind w:firstLine="3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 </w:t>
            </w:r>
            <w:r w:rsidR="00E31503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рішення Київської міської ради від 25 грудня 2008 року № </w:t>
            </w:r>
            <w:r w:rsidR="00B669BE" w:rsidRPr="00B669B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1051</w:t>
            </w:r>
            <w:r w:rsidR="00E31503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/1051 «Про Правила благоустрою міста Києва»;</w:t>
            </w:r>
          </w:p>
          <w:p w:rsidR="00B51DD6" w:rsidRDefault="002704E9" w:rsidP="001D029C">
            <w:pPr>
              <w:tabs>
                <w:tab w:val="left" w:pos="490"/>
              </w:tabs>
              <w:suppressAutoHyphens/>
              <w:ind w:firstLine="3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E064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Положення про </w:t>
            </w:r>
            <w:r w:rsidR="00546C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Департамент </w:t>
            </w:r>
            <w:r w:rsidR="00C84B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міського благоустрою</w:t>
            </w:r>
            <w:r w:rsidR="00E064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</w:t>
            </w:r>
            <w:r w:rsidR="00E315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  <w:r w:rsidR="00E064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315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січня</w:t>
            </w:r>
            <w:r w:rsidR="00E064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201</w:t>
            </w:r>
            <w:r w:rsidR="00E315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E064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року № </w:t>
            </w:r>
            <w:r w:rsidR="00E315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94</w:t>
            </w:r>
            <w:r w:rsidR="00546C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(в редакції розпорядження виконавчого органу Київської міської ради (Київської міської державної адміністрації</w:t>
            </w:r>
            <w:r w:rsidR="00B450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="00146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669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146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786C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146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315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грудн</w:t>
            </w:r>
            <w:r w:rsidR="00146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201</w:t>
            </w:r>
            <w:r w:rsidR="00786C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146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року № </w:t>
            </w:r>
            <w:r w:rsidR="00786C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2223</w:t>
            </w:r>
            <w:r w:rsidR="00546C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="006124F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  <w:t>;</w:t>
            </w:r>
          </w:p>
          <w:p w:rsidR="00C84B4B" w:rsidRPr="004E35B8" w:rsidRDefault="00C84B4B" w:rsidP="001D029C">
            <w:pPr>
              <w:tabs>
                <w:tab w:val="left" w:pos="490"/>
              </w:tabs>
              <w:suppressAutoHyphens/>
              <w:ind w:firstLine="3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  <w:t xml:space="preserve"> </w:t>
            </w:r>
            <w:r w:rsidR="000C7E61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  <w:t>нших нормативно-правових актів, що регулюють діяльність Департаменту.</w:t>
            </w:r>
          </w:p>
          <w:p w:rsidR="006124F6" w:rsidRPr="006124F6" w:rsidRDefault="00B669BE" w:rsidP="00B669BE">
            <w:pPr>
              <w:tabs>
                <w:tab w:val="left" w:pos="2304"/>
              </w:tabs>
              <w:suppressAutoHyphens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zh-CN"/>
              </w:rPr>
              <w:tab/>
            </w:r>
          </w:p>
        </w:tc>
      </w:tr>
    </w:tbl>
    <w:p w:rsidR="00A061EC" w:rsidRDefault="003C1317" w:rsidP="001D029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51DD6">
        <w:rPr>
          <w:rFonts w:ascii="Times New Roman" w:hAnsi="Times New Roman" w:cs="Times New Roman"/>
          <w:sz w:val="28"/>
          <w:szCs w:val="28"/>
          <w:lang w:val="uk-UA"/>
        </w:rPr>
        <w:t>ерівник апарату</w:t>
      </w:r>
      <w:r w:rsidR="00B5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1D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03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658B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 ЗАГУМЕННИЙ</w:t>
      </w:r>
    </w:p>
    <w:sectPr w:rsidR="00A06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2E" w:rsidRDefault="0009352E" w:rsidP="00F94136">
      <w:pPr>
        <w:spacing w:after="0" w:line="240" w:lineRule="auto"/>
      </w:pPr>
      <w:r>
        <w:separator/>
      </w:r>
    </w:p>
  </w:endnote>
  <w:endnote w:type="continuationSeparator" w:id="0">
    <w:p w:rsidR="0009352E" w:rsidRDefault="0009352E" w:rsidP="00F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2E" w:rsidRDefault="0009352E" w:rsidP="00F94136">
      <w:pPr>
        <w:spacing w:after="0" w:line="240" w:lineRule="auto"/>
      </w:pPr>
      <w:r>
        <w:separator/>
      </w:r>
    </w:p>
  </w:footnote>
  <w:footnote w:type="continuationSeparator" w:id="0">
    <w:p w:rsidR="0009352E" w:rsidRDefault="0009352E" w:rsidP="00F9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F16"/>
    <w:multiLevelType w:val="hybridMultilevel"/>
    <w:tmpl w:val="0E24F218"/>
    <w:lvl w:ilvl="0" w:tplc="C3A8A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2B40"/>
    <w:multiLevelType w:val="hybridMultilevel"/>
    <w:tmpl w:val="3ACC08B4"/>
    <w:lvl w:ilvl="0" w:tplc="5628A06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31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">
    <w:nsid w:val="617929C5"/>
    <w:multiLevelType w:val="hybridMultilevel"/>
    <w:tmpl w:val="84CC0BCC"/>
    <w:lvl w:ilvl="0" w:tplc="1952B69E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5"/>
    <w:rsid w:val="000700D5"/>
    <w:rsid w:val="0009352E"/>
    <w:rsid w:val="000C7E61"/>
    <w:rsid w:val="000D600D"/>
    <w:rsid w:val="0010580D"/>
    <w:rsid w:val="00124D72"/>
    <w:rsid w:val="001268D1"/>
    <w:rsid w:val="001306E6"/>
    <w:rsid w:val="001409FB"/>
    <w:rsid w:val="00146808"/>
    <w:rsid w:val="00190389"/>
    <w:rsid w:val="00196FDD"/>
    <w:rsid w:val="001D029C"/>
    <w:rsid w:val="001D6C5A"/>
    <w:rsid w:val="002362D2"/>
    <w:rsid w:val="002704E9"/>
    <w:rsid w:val="00325AFF"/>
    <w:rsid w:val="00330DB0"/>
    <w:rsid w:val="003C1317"/>
    <w:rsid w:val="003D1004"/>
    <w:rsid w:val="00400A3D"/>
    <w:rsid w:val="00406EF8"/>
    <w:rsid w:val="004122AF"/>
    <w:rsid w:val="00434160"/>
    <w:rsid w:val="00441F38"/>
    <w:rsid w:val="004442AD"/>
    <w:rsid w:val="004706B4"/>
    <w:rsid w:val="004D1084"/>
    <w:rsid w:val="004E2F9C"/>
    <w:rsid w:val="004E35B8"/>
    <w:rsid w:val="00507170"/>
    <w:rsid w:val="00546C4A"/>
    <w:rsid w:val="0057002F"/>
    <w:rsid w:val="0058027D"/>
    <w:rsid w:val="00587B04"/>
    <w:rsid w:val="005C1D44"/>
    <w:rsid w:val="005F172A"/>
    <w:rsid w:val="00602294"/>
    <w:rsid w:val="006124F6"/>
    <w:rsid w:val="006B1DE2"/>
    <w:rsid w:val="006B20D5"/>
    <w:rsid w:val="006C2A7E"/>
    <w:rsid w:val="006D0654"/>
    <w:rsid w:val="006F18AF"/>
    <w:rsid w:val="006F21E2"/>
    <w:rsid w:val="00705D79"/>
    <w:rsid w:val="007127F1"/>
    <w:rsid w:val="00732564"/>
    <w:rsid w:val="00751F3B"/>
    <w:rsid w:val="00761CF2"/>
    <w:rsid w:val="007636B1"/>
    <w:rsid w:val="007658B4"/>
    <w:rsid w:val="00786CE2"/>
    <w:rsid w:val="007C5835"/>
    <w:rsid w:val="007D6690"/>
    <w:rsid w:val="00813B4B"/>
    <w:rsid w:val="008577AC"/>
    <w:rsid w:val="008771F5"/>
    <w:rsid w:val="008A2FD9"/>
    <w:rsid w:val="008E779A"/>
    <w:rsid w:val="0094062B"/>
    <w:rsid w:val="00987353"/>
    <w:rsid w:val="009A087C"/>
    <w:rsid w:val="009D1550"/>
    <w:rsid w:val="009D3F76"/>
    <w:rsid w:val="009D4A6F"/>
    <w:rsid w:val="00A0006D"/>
    <w:rsid w:val="00A061EC"/>
    <w:rsid w:val="00AF21D5"/>
    <w:rsid w:val="00B04AF2"/>
    <w:rsid w:val="00B45067"/>
    <w:rsid w:val="00B51DD6"/>
    <w:rsid w:val="00B669BE"/>
    <w:rsid w:val="00B72804"/>
    <w:rsid w:val="00B8620B"/>
    <w:rsid w:val="00B868AB"/>
    <w:rsid w:val="00BB7A4F"/>
    <w:rsid w:val="00BD6FAD"/>
    <w:rsid w:val="00BE7F03"/>
    <w:rsid w:val="00C03625"/>
    <w:rsid w:val="00C54497"/>
    <w:rsid w:val="00C7060C"/>
    <w:rsid w:val="00C81FF1"/>
    <w:rsid w:val="00C84B4B"/>
    <w:rsid w:val="00CC55AF"/>
    <w:rsid w:val="00CD1F49"/>
    <w:rsid w:val="00D05166"/>
    <w:rsid w:val="00D05CAE"/>
    <w:rsid w:val="00D87BA4"/>
    <w:rsid w:val="00E06486"/>
    <w:rsid w:val="00E31503"/>
    <w:rsid w:val="00E40358"/>
    <w:rsid w:val="00E84282"/>
    <w:rsid w:val="00EC0000"/>
    <w:rsid w:val="00EF7C60"/>
    <w:rsid w:val="00F120FD"/>
    <w:rsid w:val="00F165A3"/>
    <w:rsid w:val="00F94136"/>
    <w:rsid w:val="00FA504A"/>
    <w:rsid w:val="00FD1305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D6"/>
    <w:pPr>
      <w:ind w:left="720"/>
      <w:contextualSpacing/>
    </w:pPr>
  </w:style>
  <w:style w:type="paragraph" w:customStyle="1" w:styleId="rvps2">
    <w:name w:val="rvps2"/>
    <w:basedOn w:val="a"/>
    <w:rsid w:val="00B5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B51DD6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B51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4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136"/>
  </w:style>
  <w:style w:type="paragraph" w:styleId="aa">
    <w:name w:val="footer"/>
    <w:basedOn w:val="a"/>
    <w:link w:val="ab"/>
    <w:uiPriority w:val="99"/>
    <w:unhideWhenUsed/>
    <w:rsid w:val="00F94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D6"/>
    <w:pPr>
      <w:ind w:left="720"/>
      <w:contextualSpacing/>
    </w:pPr>
  </w:style>
  <w:style w:type="paragraph" w:customStyle="1" w:styleId="rvps2">
    <w:name w:val="rvps2"/>
    <w:basedOn w:val="a"/>
    <w:rsid w:val="00B5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B51DD6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B51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4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136"/>
  </w:style>
  <w:style w:type="paragraph" w:styleId="aa">
    <w:name w:val="footer"/>
    <w:basedOn w:val="a"/>
    <w:link w:val="ab"/>
    <w:uiPriority w:val="99"/>
    <w:unhideWhenUsed/>
    <w:rsid w:val="00F94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9DF5-B920-4485-BCDE-B317741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2019-08-30T12:59:00Z</cp:lastPrinted>
  <dcterms:created xsi:type="dcterms:W3CDTF">2019-09-02T11:34:00Z</dcterms:created>
  <dcterms:modified xsi:type="dcterms:W3CDTF">2019-09-02T11:34:00Z</dcterms:modified>
</cp:coreProperties>
</file>