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9" w:rsidRDefault="007069D9" w:rsidP="007069D9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069D9" w:rsidRDefault="007069D9" w:rsidP="007069D9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7069D9" w:rsidRDefault="007069D9" w:rsidP="007069D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7069D9" w:rsidRDefault="007069D9" w:rsidP="007069D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7069D9" w:rsidRDefault="007069D9" w:rsidP="007069D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7069D9" w:rsidRDefault="007069D9" w:rsidP="007069D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7069D9" w:rsidRDefault="007069D9" w:rsidP="007069D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______</w:t>
      </w:r>
    </w:p>
    <w:p w:rsidR="007069D9" w:rsidRDefault="007069D9" w:rsidP="007069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7069D9" w:rsidRDefault="007069D9" w:rsidP="0070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069D9" w:rsidRDefault="007069D9" w:rsidP="0070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зайняття вакантної посади головного спеціаліста відділу інформаційного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комунікації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управління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(категорія «В») </w:t>
      </w:r>
    </w:p>
    <w:p w:rsidR="007069D9" w:rsidRDefault="007069D9" w:rsidP="0070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7069D9" w:rsidTr="007069D9">
        <w:tc>
          <w:tcPr>
            <w:tcW w:w="9889" w:type="dxa"/>
            <w:gridSpan w:val="4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069D9" w:rsidRPr="00402D78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402D78" w:rsidRPr="00F92992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інформаційного забезпечення та комунікації управління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адміністрації):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в організації взаємодії керівництва виконавчого органу Київської міської ради (Київської міської державної адміністрації) із засобами масової інформації, у тому числі шляхом опрацювання запитів, листів та звернень від засобів масової інформації, що надійшли до виконавчого органу Київської міської ради (Київської міської державної адміністрації) або безпосередньо до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, а також здійснення контролю за їхнім задоволенням;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координує діяльність структурних підрозділів виконавчого органу Київської міської ради (Київської міської державної адміністрації) з питань взаємодії із засобами масової інформації з метою ефективного висвітлення діяльності виконавчого органу Київської міської ради (Київської міської державної адміністрації) та оперативного опрацювання запитів, листів та звернень від засобів масової інформації;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готує, розміщує та контролює оновлення інформаційних матеріалів для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диного веб-порталу територіальної громади міста Києва, офіційних сторінок виконавчого органу Київської міської ради (Київської міської державної адміністрації) в соціальних мережах; 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підготовку інформаційно-аналітичних 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матеріалів, заяв та офіційних повідомлень щодо діяльності виконавчого органу Київської міської ради (Київської міської державної адміністрац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) та забезпечує їх розповсюдження у засобах масової інформації шляхом здійснення електронної розсилки інформаційних повідомлень;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інформування про прийняті рішення та висвітлення змісту розпоряджень Київського міського голови та розпоряджень виконавчого органу Київської міської ради (Київської міської державної адміністрації) шляхом підготовки та розміщення інформаційних матеріалів на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диному веб-порталі територіальної громади міста Києва та у соціальних мережах;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здійснює інформаційний супровід заходів за участю керівництва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органу Київської міської ради (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Київської міської державн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адміністрації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підготовку та проведення прес-конференцій, брифінгів, зустрічей засобів масової інформації з представниками виконавчого органу Київської міської ради (Київської міської державної адміністрації) шляхом анонсування, проведення акредитації, </w:t>
            </w:r>
            <w:proofErr w:type="spellStart"/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модерації</w:t>
            </w:r>
            <w:proofErr w:type="spellEnd"/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заходів, формування та надання засобам масової інформації роздаткових інформаційних матеріалів, висвітлення результатів заходів;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проведення акредитації журналістів, працівників засобів масової інформації на засідання Колегії виконавчого органу Київської міської ради (Київської міської державної адміністрації), а також на інші заходи за участю керівництва виконавчого органу Київської міської ради (Київської міської державної адміністрації);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та координує участь спікерів від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органу Київської міської ради (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Київської міської державної адміністрації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прес-конференціях, брифінгах, відео-конференціях, </w:t>
            </w:r>
            <w:proofErr w:type="spellStart"/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телеефірах</w:t>
            </w:r>
            <w:proofErr w:type="spellEnd"/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«круглих столах»;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розробці та реалізації кампаній інформаційного супроводу державних реформ на рівні столиці;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підготовці та проведенні робочих поїздок керівництва виконавчого органу Київської міської ради (Київської міської державної адміністрації) на міські об’єкти, до регіонів України та за кордон з метою їх висвітлення у засобах масової інформації;</w:t>
            </w:r>
          </w:p>
          <w:p w:rsidR="00402D78" w:rsidRPr="00402D78" w:rsidRDefault="00402D78" w:rsidP="00402D7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висвітлює роботу виконавчого орану Київської міської ради (Київської міської державної адміністрації) шляхом підготовки прес-релізів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на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диному веб-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порталі тери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торіальної громади міста Києва і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соціальних мережах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інформації, 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що надійшл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структурних підрозділів 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органу Київської міської ради (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Київської міської державної адміністрації</w:t>
            </w:r>
            <w:r w:rsidR="008A7D63"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комунальних підприємств, установ та організацій;</w:t>
            </w:r>
          </w:p>
          <w:p w:rsidR="007069D9" w:rsidRDefault="007069D9" w:rsidP="00402D78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інші, передбачені законодавством, повноваження.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7069D9" w:rsidRDefault="007069D9" w:rsidP="00D2406C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головного спеціаліста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D78"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інформаційного забезпечення та комунікації управління інформаційного забезпечення та доступу до публічної інформації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 5 110,00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(у коефіцієнтах), затвердженої постановою Кабінету Міністрів України від 18 січня 2017 року № 15 (в редакції постанови Кабінету Міністрів України від 06 лютого 2019 року № 102);</w:t>
            </w:r>
          </w:p>
          <w:p w:rsidR="007069D9" w:rsidRDefault="007069D9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7069D9" w:rsidRDefault="007069D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7069D9" w:rsidRDefault="007069D9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29" w:type="dxa"/>
            <w:gridSpan w:val="2"/>
            <w:hideMark/>
          </w:tcPr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1"/>
            <w:bookmarkEnd w:id="1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2"/>
            <w:bookmarkEnd w:id="2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3"/>
            <w:bookmarkEnd w:id="3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4"/>
            <w:bookmarkEnd w:id="4"/>
            <w:r>
              <w:rPr>
                <w:color w:val="000000"/>
                <w:sz w:val="28"/>
                <w:szCs w:val="28"/>
              </w:rPr>
              <w:t>4) копію (копії) документа (документів) про освіту;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5"/>
            <w:bookmarkEnd w:id="5"/>
            <w:r>
              <w:rPr>
                <w:color w:val="000000"/>
                <w:sz w:val="28"/>
                <w:szCs w:val="28"/>
              </w:rPr>
              <w:t>6)</w:t>
            </w:r>
            <w:bookmarkStart w:id="6" w:name="n76"/>
            <w:bookmarkEnd w:id="6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78"/>
            <w:bookmarkStart w:id="8" w:name="n77"/>
            <w:bookmarkEnd w:id="7"/>
            <w:bookmarkEnd w:id="8"/>
            <w:r>
              <w:rPr>
                <w:color w:val="000000"/>
                <w:sz w:val="28"/>
                <w:szCs w:val="28"/>
              </w:rPr>
              <w:t>7) декларацію особи, уповноваженої на виконання функцій держави або місцевого самоврядування, за минулий рік (надається  у вигляді роздрукованого примірника заповненої декларації на офіційному веб-</w:t>
            </w:r>
            <w:r>
              <w:rPr>
                <w:color w:val="000000"/>
                <w:sz w:val="28"/>
                <w:szCs w:val="28"/>
              </w:rPr>
              <w:lastRenderedPageBreak/>
              <w:t>сайті НАЗК);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7069D9" w:rsidRDefault="007069D9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069D9" w:rsidRDefault="007069D9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069D9" w:rsidRDefault="007069D9" w:rsidP="00EE18DF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приймаються до 1</w:t>
            </w:r>
            <w:r w:rsidR="00EE18DF" w:rsidRPr="00EE18DF"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EE18DF" w:rsidRPr="00EE18DF">
              <w:rPr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E18DF" w:rsidRPr="00EE18DF">
              <w:rPr>
                <w:color w:val="000000"/>
                <w:sz w:val="28"/>
                <w:szCs w:val="28"/>
                <w:lang w:val="ru-RU"/>
              </w:rPr>
              <w:t xml:space="preserve">03 </w:t>
            </w:r>
            <w:r w:rsidR="00EE18DF">
              <w:rPr>
                <w:color w:val="000000"/>
                <w:sz w:val="28"/>
                <w:szCs w:val="28"/>
              </w:rPr>
              <w:t>лип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2019 року.</w:t>
            </w: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Дата, час і місце проведення</w:t>
            </w:r>
          </w:p>
        </w:tc>
        <w:tc>
          <w:tcPr>
            <w:tcW w:w="7229" w:type="dxa"/>
            <w:gridSpan w:val="2"/>
            <w:hideMark/>
          </w:tcPr>
          <w:p w:rsidR="007069D9" w:rsidRDefault="007069D9" w:rsidP="00EE18DF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384AF6" w:rsidRPr="00EE1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2019 року о 10.</w:t>
            </w:r>
            <w:r w:rsidR="00D11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7069D9" w:rsidRDefault="00384AF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7069D9" w:rsidTr="007069D9">
        <w:tc>
          <w:tcPr>
            <w:tcW w:w="9889" w:type="dxa"/>
            <w:gridSpan w:val="4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069D9" w:rsidTr="007069D9">
        <w:tc>
          <w:tcPr>
            <w:tcW w:w="534" w:type="dxa"/>
            <w:hideMark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7069D9" w:rsidRDefault="007069D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не нижче ступеня  бакалавра, молодшого бакалавра</w:t>
            </w:r>
          </w:p>
        </w:tc>
      </w:tr>
      <w:tr w:rsidR="007069D9" w:rsidTr="007069D9">
        <w:tc>
          <w:tcPr>
            <w:tcW w:w="534" w:type="dxa"/>
            <w:hideMark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7069D9" w:rsidRDefault="007069D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7069D9" w:rsidTr="007069D9">
        <w:tc>
          <w:tcPr>
            <w:tcW w:w="534" w:type="dxa"/>
            <w:hideMark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  <w:hideMark/>
          </w:tcPr>
          <w:p w:rsidR="007069D9" w:rsidRDefault="007069D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069D9" w:rsidTr="007069D9">
        <w:trPr>
          <w:trHeight w:val="507"/>
        </w:trPr>
        <w:tc>
          <w:tcPr>
            <w:tcW w:w="9889" w:type="dxa"/>
            <w:gridSpan w:val="4"/>
            <w:hideMark/>
          </w:tcPr>
          <w:p w:rsidR="007069D9" w:rsidRDefault="007069D9">
            <w:pPr>
              <w:tabs>
                <w:tab w:val="left" w:pos="35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069D9" w:rsidTr="007069D9">
        <w:trPr>
          <w:trHeight w:val="2399"/>
        </w:trPr>
        <w:tc>
          <w:tcPr>
            <w:tcW w:w="534" w:type="dxa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7069D9" w:rsidRDefault="007069D9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7069D9" w:rsidRDefault="007069D9">
            <w:pPr>
              <w:ind w:firstLine="318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B87436" w:rsidRPr="00B87436" w:rsidRDefault="007069D9" w:rsidP="00B874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B87436"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організовувати та планувати роботу;</w:t>
            </w:r>
          </w:p>
          <w:p w:rsidR="00B87436" w:rsidRPr="00B87436" w:rsidRDefault="00B87436" w:rsidP="00B874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результату;</w:t>
            </w:r>
          </w:p>
          <w:p w:rsidR="00B87436" w:rsidRPr="00B87436" w:rsidRDefault="00B87436" w:rsidP="00B874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збір та аналіз інформації;</w:t>
            </w:r>
          </w:p>
          <w:p w:rsidR="00B87436" w:rsidRPr="00B87436" w:rsidRDefault="00B87436" w:rsidP="00B874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 та уникати конфліктних ситуацій;</w:t>
            </w:r>
          </w:p>
          <w:p w:rsidR="00B87436" w:rsidRPr="00B87436" w:rsidRDefault="00B87436" w:rsidP="00B874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стресових ситуаціях;</w:t>
            </w:r>
          </w:p>
          <w:p w:rsidR="007069D9" w:rsidRDefault="00B87436" w:rsidP="00B87436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sz w:val="28"/>
                <w:szCs w:val="28"/>
                <w:lang w:val="uk-UA"/>
              </w:rPr>
              <w:t>самостійність в роботі</w:t>
            </w:r>
          </w:p>
          <w:p w:rsidR="00B87436" w:rsidRDefault="00B87436" w:rsidP="00B87436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7069D9" w:rsidTr="007069D9">
        <w:tc>
          <w:tcPr>
            <w:tcW w:w="534" w:type="dxa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7436" w:rsidRDefault="00B87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Уміння працювати з комп’ютером </w:t>
            </w: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7436" w:rsidRDefault="00B87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Особистісні якості</w:t>
            </w:r>
          </w:p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069D9" w:rsidRDefault="007069D9" w:rsidP="00D2406C">
            <w:pPr>
              <w:pStyle w:val="1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  <w:p w:rsidR="00B87436" w:rsidRDefault="00B87436" w:rsidP="00B87436">
            <w:pPr>
              <w:pStyle w:val="1"/>
              <w:spacing w:after="0"/>
              <w:ind w:left="33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069D9" w:rsidRDefault="007069D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    аналітичні здібності;</w:t>
            </w:r>
          </w:p>
          <w:p w:rsidR="007069D9" w:rsidRDefault="007069D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відповідальність;</w:t>
            </w:r>
          </w:p>
          <w:p w:rsidR="00B87436" w:rsidRDefault="00B8743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системність;</w:t>
            </w:r>
          </w:p>
          <w:p w:rsidR="007069D9" w:rsidRDefault="007069D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дисциплінованість;</w:t>
            </w:r>
          </w:p>
          <w:p w:rsidR="00B87436" w:rsidRDefault="00B8743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сумлінність;</w:t>
            </w:r>
          </w:p>
          <w:p w:rsidR="007069D9" w:rsidRDefault="00B87436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комунікабельність.</w:t>
            </w:r>
          </w:p>
          <w:p w:rsidR="007069D9" w:rsidRDefault="007069D9" w:rsidP="00B87436">
            <w:pPr>
              <w:pStyle w:val="1"/>
              <w:spacing w:after="0"/>
              <w:ind w:left="33"/>
              <w:jc w:val="both"/>
              <w:rPr>
                <w:sz w:val="12"/>
                <w:szCs w:val="12"/>
                <w:lang w:val="uk-UA" w:eastAsia="en-US"/>
              </w:rPr>
            </w:pPr>
          </w:p>
        </w:tc>
      </w:tr>
      <w:tr w:rsidR="007069D9" w:rsidTr="007069D9">
        <w:tc>
          <w:tcPr>
            <w:tcW w:w="9889" w:type="dxa"/>
            <w:gridSpan w:val="4"/>
          </w:tcPr>
          <w:p w:rsidR="007069D9" w:rsidRDefault="007069D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Професійні знання</w:t>
            </w:r>
          </w:p>
          <w:p w:rsidR="007069D9" w:rsidRDefault="007069D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7069D9" w:rsidTr="007069D9">
        <w:tc>
          <w:tcPr>
            <w:tcW w:w="534" w:type="dxa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7069D9" w:rsidRDefault="007069D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7069D9" w:rsidRDefault="007069D9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7069D9" w:rsidTr="007069D9">
        <w:tc>
          <w:tcPr>
            <w:tcW w:w="534" w:type="dxa"/>
            <w:hideMark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7069D9" w:rsidRDefault="00706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7069D9" w:rsidRDefault="007069D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7069D9" w:rsidRDefault="007069D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7069D9" w:rsidRDefault="007069D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7069D9" w:rsidRDefault="007069D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7069D9" w:rsidRDefault="007069D9">
            <w:pPr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7069D9" w:rsidRPr="00F92992" w:rsidTr="007069D9">
        <w:tc>
          <w:tcPr>
            <w:tcW w:w="534" w:type="dxa"/>
          </w:tcPr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069D9" w:rsidRDefault="007069D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069D9" w:rsidRDefault="007069D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місцеве самоврядування в Україні»;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інформацію»;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друковані засоби масової інформації (пресу) в Україні»;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телебачення і радіомовлення»;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інформаційні агентства»;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доступ до публічної інформації»;</w:t>
            </w:r>
          </w:p>
          <w:p w:rsidR="00B87436" w:rsidRP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звернення громадян»;</w:t>
            </w:r>
          </w:p>
          <w:p w:rsidR="00B87436" w:rsidRDefault="00B87436" w:rsidP="00B87436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захист персональних даних»</w:t>
            </w:r>
          </w:p>
          <w:p w:rsidR="007069D9" w:rsidRDefault="007069D9" w:rsidP="00B8743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7069D9" w:rsidRDefault="007069D9">
            <w:pPr>
              <w:tabs>
                <w:tab w:val="left" w:pos="490"/>
              </w:tabs>
              <w:suppressAutoHyphens/>
              <w:ind w:firstLine="31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Положення про управління </w:t>
            </w:r>
            <w:r w:rsidR="00B874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інформаційного забезпечення та доступу до публічної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27 квітня 2016 року № 294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.</w:t>
            </w:r>
          </w:p>
          <w:p w:rsidR="007069D9" w:rsidRDefault="007069D9">
            <w:pPr>
              <w:tabs>
                <w:tab w:val="left" w:pos="490"/>
              </w:tabs>
              <w:suppressAutoHyphens/>
              <w:ind w:firstLine="31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32"/>
                <w:szCs w:val="32"/>
                <w:lang w:val="uk-UA" w:eastAsia="zh-CN"/>
              </w:rPr>
            </w:pPr>
          </w:p>
        </w:tc>
      </w:tr>
    </w:tbl>
    <w:p w:rsidR="007069D9" w:rsidRDefault="007069D9" w:rsidP="007069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Євген СИТНІЧЕНКО</w:t>
      </w:r>
    </w:p>
    <w:p w:rsidR="00140C0A" w:rsidRDefault="00140C0A"/>
    <w:sectPr w:rsidR="00140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B40"/>
    <w:multiLevelType w:val="hybridMultilevel"/>
    <w:tmpl w:val="3ACC08B4"/>
    <w:lvl w:ilvl="0" w:tplc="5628A06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8C"/>
    <w:rsid w:val="00051D6B"/>
    <w:rsid w:val="00140C0A"/>
    <w:rsid w:val="00384AF6"/>
    <w:rsid w:val="00402D78"/>
    <w:rsid w:val="007069D9"/>
    <w:rsid w:val="008A7D63"/>
    <w:rsid w:val="00964C8C"/>
    <w:rsid w:val="00B87436"/>
    <w:rsid w:val="00D112A6"/>
    <w:rsid w:val="00EE18DF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9"/>
    <w:pPr>
      <w:ind w:left="720"/>
      <w:contextualSpacing/>
    </w:pPr>
  </w:style>
  <w:style w:type="paragraph" w:customStyle="1" w:styleId="rvps2">
    <w:name w:val="rvps2"/>
    <w:basedOn w:val="a"/>
    <w:rsid w:val="007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7069D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706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02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2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87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9"/>
    <w:pPr>
      <w:ind w:left="720"/>
      <w:contextualSpacing/>
    </w:pPr>
  </w:style>
  <w:style w:type="paragraph" w:customStyle="1" w:styleId="rvps2">
    <w:name w:val="rvps2"/>
    <w:basedOn w:val="a"/>
    <w:rsid w:val="007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7069D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706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02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2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87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2019-06-06T13:46:00Z</cp:lastPrinted>
  <dcterms:created xsi:type="dcterms:W3CDTF">2019-05-30T08:21:00Z</dcterms:created>
  <dcterms:modified xsi:type="dcterms:W3CDTF">2019-06-06T13:51:00Z</dcterms:modified>
</cp:coreProperties>
</file>