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B" w:rsidRDefault="00B61C4B" w:rsidP="00B61C4B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B61C4B" w:rsidRDefault="00B61C4B" w:rsidP="00B61C4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B61C4B" w:rsidRDefault="00B61C4B" w:rsidP="00B61C4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B61C4B" w:rsidRDefault="00B61C4B" w:rsidP="00B61C4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B61C4B" w:rsidRDefault="00B61C4B" w:rsidP="00B61C4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B61C4B" w:rsidRPr="007677E1" w:rsidRDefault="00B61C4B" w:rsidP="00B61C4B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677E1" w:rsidRDefault="007677E1" w:rsidP="007677E1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01 листопада  2018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66</w:t>
      </w:r>
    </w:p>
    <w:p w:rsidR="00B61C4B" w:rsidRPr="007677E1" w:rsidRDefault="00B61C4B" w:rsidP="00B61C4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C4B" w:rsidRDefault="00B61C4B" w:rsidP="00B61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E24ED7" w:rsidRDefault="00B61C4B" w:rsidP="00B6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вакантної посади головного спеціаліста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контрольно-аналітичного забезпечення заступника голови Київської міської державної адміністрації з питань промислової політики, транспорту</w:t>
      </w:r>
      <w:r w:rsidR="00E24ED7" w:rsidRPr="00E24E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24E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контрольно-аналітичного забезпечення заступників голови Київської міської державної адміністрації апарату виконавчого органу Київської міської ради (Київської міської </w:t>
      </w:r>
    </w:p>
    <w:p w:rsidR="00B61C4B" w:rsidRDefault="00B61C4B" w:rsidP="00B6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державної адміністрації) (категорія «В») </w:t>
      </w:r>
    </w:p>
    <w:p w:rsidR="00B61C4B" w:rsidRDefault="00B61C4B" w:rsidP="00B61C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B61C4B" w:rsidTr="00B61C4B">
        <w:tc>
          <w:tcPr>
            <w:tcW w:w="9889" w:type="dxa"/>
            <w:gridSpan w:val="2"/>
            <w:hideMark/>
          </w:tcPr>
          <w:p w:rsidR="00B61C4B" w:rsidRDefault="00B61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B61C4B" w:rsidRPr="007677E1" w:rsidTr="00B61C4B">
        <w:tc>
          <w:tcPr>
            <w:tcW w:w="2660" w:type="dxa"/>
            <w:hideMark/>
          </w:tcPr>
          <w:p w:rsidR="00B61C4B" w:rsidRDefault="00B61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</w:tcPr>
          <w:p w:rsidR="00B61C4B" w:rsidRDefault="00B61C4B" w:rsidP="00E24ED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3F76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контрольно-аналітичного забезпечення заступника голови Київської міської державної адміністрації з питань промислової політики, транспорту</w:t>
            </w:r>
            <w:r w:rsidR="00E24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та комунальної власності</w:t>
            </w:r>
            <w:r w:rsidR="003F76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управління контрольно-аналітичного забезпечення заступників голови Київської міської державної адміністрації апарату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B315E" w:rsidRPr="006B315E" w:rsidRDefault="00D16BF1" w:rsidP="00472840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виконує</w:t>
            </w:r>
            <w:r w:rsidRPr="000A73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0A73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заступника голови Київської міської державної адміністрації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Д.О.</w:t>
            </w:r>
            <w:r w:rsidR="006B3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D16BF1" w:rsidRPr="00D02AFE" w:rsidRDefault="006B315E" w:rsidP="00472840">
            <w:pPr>
              <w:pStyle w:val="a4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 доручення </w:t>
            </w:r>
            <w:r w:rsidR="00D1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начальника відділу контрольно-аналітичного забезпечення заступника голови Київської міської державної адміністрації з питань промислової політики, транспорту </w:t>
            </w:r>
            <w:r w:rsidR="00E24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комунальної власності </w:t>
            </w:r>
            <w:r w:rsidR="00D1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контрольно-аналітичного забезпечення заступників голови Київської міської державної адміністрації апарату виконавчого органу Київської міської ради (Київської міської державної адміністрації)</w:t>
            </w:r>
            <w:r w:rsidR="00D16BF1" w:rsidRPr="000A73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D16BF1" w:rsidRPr="000A73F4" w:rsidRDefault="00D16BF1" w:rsidP="00472840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контролює строки та якість виконання доручень Київського міського голови, рішень Київської міської ради, розпоряджень виконавчого органу Київської міської ради (Київської міської державної адміністрації) і Київського міського голови, що розглядаються заступником голови Київської міської державної адміністрації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Давтяном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Д.О.;</w:t>
            </w:r>
          </w:p>
          <w:p w:rsidR="00D16BF1" w:rsidRDefault="00D16BF1" w:rsidP="00472840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виконання та здійснює контроль за</w:t>
            </w:r>
            <w:r w:rsidRPr="00D16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своєчасним і якісним розглядом службової кореспонденції, звернень громадян, запитів та звернень народних депутатів України та депутатів Київської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ради, що надходять до заступника голови Київської міської</w:t>
            </w:r>
            <w:r w:rsidR="001F3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</w:t>
            </w:r>
            <w:proofErr w:type="spellStart"/>
            <w:r w:rsidR="001F3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  <w:r w:rsidR="00E24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порушують питання, що відносяться до компетенції заступника голови Київської міської державної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Д.О., сприяє реалізації конституційного права громадян на свободу слова та на доступ до публічної інформації;</w:t>
            </w:r>
          </w:p>
          <w:p w:rsidR="00B61C4B" w:rsidRPr="00E24ED7" w:rsidRDefault="00D16BF1" w:rsidP="00472840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надає практичну та консультативну допомогу безпосередньо підпорядкованим заступнику голови Київської міської державної адміністрації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Давтяну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Д.О. структурним підрозділам виконавчого органу Київської міської ради (Київської міської державної адміністрації)</w:t>
            </w:r>
            <w:r w:rsidR="00B61C4B" w:rsidRPr="00D16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24ED7" w:rsidRDefault="00E24ED7" w:rsidP="00472840">
            <w:pPr>
              <w:pStyle w:val="a4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разі відсутності іншого головного спеціаліста відділу у зв’язку з відпусткою, хворобою та іншими причинами </w:t>
            </w:r>
            <w:r w:rsidR="001F31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виконує його обов’язки.</w:t>
            </w:r>
          </w:p>
          <w:p w:rsidR="00B61C4B" w:rsidRPr="00027990" w:rsidRDefault="00B61C4B" w:rsidP="001F319D">
            <w:pPr>
              <w:pStyle w:val="a4"/>
              <w:ind w:left="0"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7092"/>
      </w:tblGrid>
      <w:tr w:rsidR="00F956EA" w:rsidTr="00EB50D5">
        <w:tc>
          <w:tcPr>
            <w:tcW w:w="2943" w:type="dxa"/>
            <w:gridSpan w:val="2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EB50D5">
            <w:pPr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посадовий оклад 4800,00 гривень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юрисдикції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№ 15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№ 24);</w:t>
            </w:r>
          </w:p>
          <w:p w:rsidR="00F956EA" w:rsidRDefault="00F956EA" w:rsidP="00EB50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доплати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956EA" w:rsidTr="00EB50D5">
        <w:tc>
          <w:tcPr>
            <w:tcW w:w="2943" w:type="dxa"/>
            <w:gridSpan w:val="2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</w:tc>
      </w:tr>
      <w:tr w:rsidR="00F956EA" w:rsidTr="00EB50D5">
        <w:tc>
          <w:tcPr>
            <w:tcW w:w="2943" w:type="dxa"/>
            <w:gridSpan w:val="2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Особа, яка бажає взяти участь у конкурсі, подає (особисто або поштою) конкурсній комісії такі документи:</w:t>
            </w:r>
            <w:bookmarkStart w:id="1" w:name="n71"/>
            <w:bookmarkEnd w:id="1"/>
          </w:p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2"/>
            <w:bookmarkEnd w:id="2"/>
            <w:r>
              <w:rPr>
                <w:color w:val="000000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3"/>
            <w:bookmarkEnd w:id="3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4"/>
            <w:bookmarkEnd w:id="4"/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) копію (копії) документа (документів) про освіту;</w:t>
            </w:r>
          </w:p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) оригінал посвідчення атестації щодо вільного володіння </w:t>
            </w:r>
            <w:proofErr w:type="gramStart"/>
            <w:r>
              <w:rPr>
                <w:color w:val="000000"/>
                <w:sz w:val="28"/>
                <w:szCs w:val="28"/>
              </w:rPr>
              <w:t>державною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мовою;</w:t>
            </w:r>
          </w:p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75"/>
            <w:bookmarkEnd w:id="5"/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color w:val="000000"/>
                <w:sz w:val="28"/>
                <w:szCs w:val="28"/>
              </w:rPr>
              <w:t>)</w:t>
            </w:r>
            <w:bookmarkStart w:id="6" w:name="n76"/>
            <w:bookmarkEnd w:id="6"/>
            <w:r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7" w:name="n78"/>
            <w:bookmarkStart w:id="8" w:name="n77"/>
            <w:bookmarkEnd w:id="7"/>
            <w:bookmarkEnd w:id="8"/>
            <w:r>
              <w:rPr>
                <w:color w:val="000000"/>
                <w:sz w:val="28"/>
                <w:szCs w:val="28"/>
                <w:lang w:val="ru-RU"/>
              </w:rPr>
              <w:lastRenderedPageBreak/>
              <w:t>7</w:t>
            </w:r>
            <w:r>
              <w:rPr>
                <w:color w:val="000000"/>
                <w:sz w:val="28"/>
                <w:szCs w:val="28"/>
              </w:rPr>
              <w:t xml:space="preserve">) декларацію особи, уповноваженої на виконання функцій держави або місцевого самоврядування, за минулий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ік (надається у вигляді роздрукованого примірника заповненої декларації на офіційному веб-сайті НАЗК)</w:t>
            </w:r>
            <w:r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F956EA" w:rsidRDefault="00F956EA" w:rsidP="00F956E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br/>
              <w:t>(характеристики, рекомендації, наукові публікації та інші).</w:t>
            </w:r>
          </w:p>
          <w:p w:rsidR="00F956EA" w:rsidRDefault="00F956EA" w:rsidP="00F956E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F956EA" w:rsidRDefault="00F956EA" w:rsidP="001F319D">
            <w:pPr>
              <w:spacing w:after="0" w:line="240" w:lineRule="auto"/>
              <w:ind w:firstLine="459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</w:t>
            </w:r>
            <w:r w:rsidR="001F31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F31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3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F31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року.</w:t>
            </w:r>
          </w:p>
        </w:tc>
      </w:tr>
      <w:tr w:rsidR="00F956EA" w:rsidTr="00EB50D5">
        <w:tc>
          <w:tcPr>
            <w:tcW w:w="2943" w:type="dxa"/>
            <w:gridSpan w:val="2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дата та час початку проведення конкурсу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1F319D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1F3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листопада 2018 року о 14.30.</w:t>
            </w:r>
          </w:p>
        </w:tc>
      </w:tr>
      <w:tr w:rsidR="00F956EA" w:rsidTr="00EB50D5">
        <w:tc>
          <w:tcPr>
            <w:tcW w:w="2943" w:type="dxa"/>
            <w:gridSpan w:val="2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ind w:firstLine="459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F956EA" w:rsidTr="00EB50D5">
        <w:tc>
          <w:tcPr>
            <w:tcW w:w="10035" w:type="dxa"/>
            <w:gridSpan w:val="3"/>
            <w:shd w:val="clear" w:color="auto" w:fill="FFFFFF"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956EA" w:rsidTr="00EB50D5">
        <w:tc>
          <w:tcPr>
            <w:tcW w:w="531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1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Вища освіта ступеня бакалавра, молодшого бакалавра</w:t>
            </w:r>
            <w:r w:rsidR="00F851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956EA" w:rsidTr="00EB50D5">
        <w:tc>
          <w:tcPr>
            <w:tcW w:w="531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1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  <w:r w:rsidR="00F851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956EA" w:rsidTr="00EB50D5">
        <w:tc>
          <w:tcPr>
            <w:tcW w:w="531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:rsidR="00F956EA" w:rsidRDefault="00F956EA" w:rsidP="00E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Володіння державною мовою</w:t>
            </w:r>
          </w:p>
          <w:p w:rsidR="00F956EA" w:rsidRDefault="00F956EA" w:rsidP="00E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Вільне володіння державною мовою</w:t>
            </w:r>
            <w:r w:rsidR="00F851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956EA" w:rsidTr="00EB50D5">
        <w:tc>
          <w:tcPr>
            <w:tcW w:w="10035" w:type="dxa"/>
            <w:gridSpan w:val="3"/>
            <w:shd w:val="clear" w:color="auto" w:fill="FFFFFF"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</w:tr>
      <w:tr w:rsidR="00F956EA" w:rsidTr="00EB50D5">
        <w:tc>
          <w:tcPr>
            <w:tcW w:w="531" w:type="dxa"/>
            <w:shd w:val="clear" w:color="auto" w:fill="FFFFFF"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F956EA" w:rsidTr="00EB50D5">
        <w:tc>
          <w:tcPr>
            <w:tcW w:w="531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2" w:type="dxa"/>
            <w:shd w:val="clear" w:color="auto" w:fill="FFFFFF"/>
            <w:hideMark/>
          </w:tcPr>
          <w:p w:rsidR="00F956EA" w:rsidRDefault="00F956EA" w:rsidP="00EB50D5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Ділові якості</w:t>
            </w:r>
          </w:p>
        </w:tc>
        <w:tc>
          <w:tcPr>
            <w:tcW w:w="7092" w:type="dxa"/>
            <w:shd w:val="clear" w:color="auto" w:fill="FFFFFF"/>
            <w:hideMark/>
          </w:tcPr>
          <w:p w:rsidR="001D1425" w:rsidRDefault="00F956EA" w:rsidP="001D1425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8F7BE5">
              <w:rPr>
                <w:color w:val="000000"/>
                <w:sz w:val="28"/>
                <w:szCs w:val="28"/>
                <w:lang w:val="uk-UA" w:eastAsia="en-US"/>
              </w:rPr>
              <w:t>вміння працювати з інформацією</w:t>
            </w:r>
            <w:r w:rsidR="001D1425">
              <w:rPr>
                <w:color w:val="000000"/>
                <w:sz w:val="28"/>
                <w:szCs w:val="28"/>
                <w:lang w:val="uk-UA" w:eastAsia="en-US"/>
              </w:rPr>
              <w:t>,</w:t>
            </w:r>
          </w:p>
          <w:p w:rsidR="008F7BE5" w:rsidRDefault="008F7BE5" w:rsidP="001D1425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орієнтація на досягнення кінцевих результатів,</w:t>
            </w:r>
          </w:p>
          <w:p w:rsidR="00F956EA" w:rsidRDefault="008F7BE5" w:rsidP="008F7BE5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надавати пропозиції</w:t>
            </w:r>
          </w:p>
        </w:tc>
      </w:tr>
      <w:tr w:rsidR="00F956EA" w:rsidTr="00EB50D5">
        <w:tc>
          <w:tcPr>
            <w:tcW w:w="531" w:type="dxa"/>
            <w:shd w:val="clear" w:color="auto" w:fill="FFFFFF"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</w:tcPr>
          <w:p w:rsidR="00F956EA" w:rsidRDefault="00F956EA" w:rsidP="00EB50D5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092" w:type="dxa"/>
            <w:shd w:val="clear" w:color="auto" w:fill="FFFFFF"/>
          </w:tcPr>
          <w:p w:rsidR="00F956EA" w:rsidRDefault="00F956EA" w:rsidP="00EB50D5">
            <w:pPr>
              <w:pStyle w:val="1"/>
              <w:spacing w:after="0" w:line="240" w:lineRule="auto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</w:tr>
      <w:tr w:rsidR="00F956EA" w:rsidRPr="00F956EA" w:rsidTr="00EB50D5">
        <w:tc>
          <w:tcPr>
            <w:tcW w:w="531" w:type="dxa"/>
            <w:shd w:val="clear" w:color="auto" w:fill="FFFFFF"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2" w:type="dxa"/>
            <w:shd w:val="clear" w:color="auto" w:fill="FFFFFF"/>
          </w:tcPr>
          <w:p w:rsidR="00F956EA" w:rsidRDefault="00F956EA" w:rsidP="00EB50D5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 xml:space="preserve">Уміння працювати з комп’ютером </w:t>
            </w:r>
          </w:p>
          <w:p w:rsidR="00F956EA" w:rsidRDefault="00F956EA" w:rsidP="00EB50D5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956EA" w:rsidRDefault="00F956EA" w:rsidP="00EB50D5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956EA" w:rsidRDefault="00F956EA" w:rsidP="00EB50D5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956EA" w:rsidRDefault="00F956EA" w:rsidP="00EB50D5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Особистісні якості</w:t>
            </w:r>
          </w:p>
        </w:tc>
        <w:tc>
          <w:tcPr>
            <w:tcW w:w="7092" w:type="dxa"/>
            <w:shd w:val="clear" w:color="auto" w:fill="FFFFFF"/>
          </w:tcPr>
          <w:p w:rsidR="00F956EA" w:rsidRDefault="00F956EA" w:rsidP="00EB50D5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 xml:space="preserve">вміння використовувати комп'ютерне обладнання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br/>
              <w:t xml:space="preserve">та програмне забезпечення, використовувати офісну техніку; </w:t>
            </w:r>
            <w:r>
              <w:rPr>
                <w:sz w:val="28"/>
                <w:szCs w:val="28"/>
                <w:lang w:val="uk-UA" w:eastAsia="en-US"/>
              </w:rPr>
              <w:t xml:space="preserve">досвідчений користувач MS Word, MS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навички роботи з інформаційно-пошуковими системами в мережі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Internet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F956EA" w:rsidRDefault="00F956EA" w:rsidP="00EB50D5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956EA" w:rsidRDefault="00F956EA" w:rsidP="00EB50D5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відповіда</w:t>
            </w:r>
            <w:r w:rsidR="00D96B01">
              <w:rPr>
                <w:color w:val="000000"/>
                <w:sz w:val="28"/>
                <w:szCs w:val="28"/>
                <w:lang w:val="uk-UA" w:eastAsia="en-US"/>
              </w:rPr>
              <w:t>льність,</w:t>
            </w:r>
          </w:p>
          <w:p w:rsidR="00D96B01" w:rsidRDefault="00D96B01" w:rsidP="00EB50D5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уважність,</w:t>
            </w:r>
          </w:p>
          <w:p w:rsidR="00D96B01" w:rsidRDefault="00D96B01" w:rsidP="00EB50D5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організованість,</w:t>
            </w:r>
          </w:p>
          <w:p w:rsidR="00D96B01" w:rsidRDefault="00D96B01" w:rsidP="00D96B01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ініціативність,</w:t>
            </w:r>
          </w:p>
          <w:p w:rsidR="00F956EA" w:rsidRDefault="00A86CED" w:rsidP="00A86CE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комуніка</w:t>
            </w:r>
            <w:r w:rsidR="001D1425">
              <w:rPr>
                <w:color w:val="000000"/>
                <w:sz w:val="28"/>
                <w:szCs w:val="28"/>
                <w:lang w:val="uk-UA" w:eastAsia="en-US"/>
              </w:rPr>
              <w:t>бельність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</w:t>
            </w:r>
          </w:p>
          <w:p w:rsidR="00A86CED" w:rsidRDefault="00A86CED" w:rsidP="00A86CE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прагнення до самовдосконалення та підвищення </w:t>
            </w:r>
            <w:r w:rsidR="008F7BE5">
              <w:rPr>
                <w:color w:val="000000"/>
                <w:sz w:val="28"/>
                <w:szCs w:val="28"/>
                <w:lang w:val="uk-UA" w:eastAsia="en-US"/>
              </w:rPr>
              <w:t>фахового рівня</w:t>
            </w:r>
          </w:p>
        </w:tc>
      </w:tr>
      <w:tr w:rsidR="00F956EA" w:rsidTr="00EB50D5">
        <w:trPr>
          <w:trHeight w:val="590"/>
        </w:trPr>
        <w:tc>
          <w:tcPr>
            <w:tcW w:w="531" w:type="dxa"/>
            <w:shd w:val="clear" w:color="auto" w:fill="FFFFFF"/>
            <w:vAlign w:val="center"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04" w:type="dxa"/>
            <w:gridSpan w:val="2"/>
            <w:shd w:val="clear" w:color="auto" w:fill="FFFFFF"/>
            <w:vAlign w:val="center"/>
            <w:hideMark/>
          </w:tcPr>
          <w:p w:rsidR="00F956EA" w:rsidRDefault="00F956EA" w:rsidP="00EB50D5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br/>
              <w:t>Професійні знання</w:t>
            </w:r>
          </w:p>
          <w:p w:rsidR="001D1425" w:rsidRPr="001D1425" w:rsidRDefault="001D1425" w:rsidP="00EB50D5">
            <w:pPr>
              <w:pStyle w:val="1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</w:tr>
      <w:tr w:rsidR="00F956EA" w:rsidTr="00EB50D5">
        <w:tc>
          <w:tcPr>
            <w:tcW w:w="531" w:type="dxa"/>
            <w:shd w:val="clear" w:color="auto" w:fill="FFFFFF"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  <w:hideMark/>
          </w:tcPr>
          <w:p w:rsidR="00F956EA" w:rsidRDefault="00F956EA" w:rsidP="00EB50D5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EB50D5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  <w:p w:rsidR="001D1425" w:rsidRPr="001D1425" w:rsidRDefault="001D1425" w:rsidP="00EB50D5">
            <w:pPr>
              <w:pStyle w:val="1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</w:tr>
      <w:tr w:rsidR="00F956EA" w:rsidTr="00EB50D5">
        <w:tc>
          <w:tcPr>
            <w:tcW w:w="531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D35318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Знання:</w:t>
            </w:r>
          </w:p>
          <w:p w:rsidR="00F956EA" w:rsidRDefault="00F956EA" w:rsidP="00F851CB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Конституції України</w:t>
            </w:r>
            <w:r w:rsidR="00F851CB">
              <w:rPr>
                <w:color w:val="000000"/>
                <w:sz w:val="28"/>
                <w:szCs w:val="28"/>
                <w:lang w:val="uk-UA" w:eastAsia="en-US"/>
              </w:rPr>
              <w:t>;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9816D9" w:rsidRDefault="00F956EA" w:rsidP="00D35318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Закон</w:t>
            </w:r>
            <w:r w:rsidR="009816D9">
              <w:rPr>
                <w:color w:val="000000"/>
                <w:sz w:val="28"/>
                <w:szCs w:val="28"/>
                <w:lang w:val="uk-UA" w:eastAsia="en-US"/>
              </w:rPr>
              <w:t>ів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України</w:t>
            </w:r>
            <w:r w:rsidR="009816D9">
              <w:rPr>
                <w:color w:val="000000"/>
                <w:sz w:val="28"/>
                <w:szCs w:val="28"/>
                <w:lang w:val="uk-UA" w:eastAsia="en-US"/>
              </w:rPr>
              <w:t>:</w:t>
            </w:r>
          </w:p>
          <w:p w:rsidR="00F956EA" w:rsidRDefault="00F956EA" w:rsidP="00D35318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«Про державну службу», </w:t>
            </w:r>
          </w:p>
          <w:p w:rsidR="001D1425" w:rsidRPr="001D1425" w:rsidRDefault="00F956EA" w:rsidP="00F851CB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запобігання корупції»</w:t>
            </w:r>
            <w:r w:rsidR="00D35318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</w:tc>
      </w:tr>
      <w:tr w:rsidR="00F956EA" w:rsidRPr="007677E1" w:rsidTr="00EB50D5">
        <w:tc>
          <w:tcPr>
            <w:tcW w:w="531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12" w:type="dxa"/>
            <w:shd w:val="clear" w:color="auto" w:fill="FFFFFF"/>
            <w:hideMark/>
          </w:tcPr>
          <w:p w:rsidR="00F956EA" w:rsidRDefault="00F956EA" w:rsidP="00EB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92" w:type="dxa"/>
            <w:shd w:val="clear" w:color="auto" w:fill="FFFFFF"/>
            <w:hideMark/>
          </w:tcPr>
          <w:p w:rsidR="00F956EA" w:rsidRDefault="00F956EA" w:rsidP="00D35318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Знання:</w:t>
            </w:r>
          </w:p>
          <w:p w:rsidR="00F956EA" w:rsidRDefault="009816D9" w:rsidP="00D35318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</w:t>
            </w:r>
            <w:r w:rsidR="00F956EA">
              <w:rPr>
                <w:color w:val="000000"/>
                <w:sz w:val="28"/>
                <w:szCs w:val="28"/>
                <w:lang w:val="uk-UA" w:eastAsia="en-US"/>
              </w:rPr>
              <w:t>аконів України:</w:t>
            </w:r>
          </w:p>
          <w:p w:rsidR="00F956EA" w:rsidRPr="000E16ED" w:rsidRDefault="00F956EA" w:rsidP="00D35318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столицю України – місто-герой Київ»,</w:t>
            </w:r>
          </w:p>
          <w:p w:rsidR="00F956EA" w:rsidRDefault="00F956EA" w:rsidP="00D35318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місцеві державні адміністрації»,</w:t>
            </w:r>
          </w:p>
          <w:p w:rsidR="00F956EA" w:rsidRPr="009D14B7" w:rsidRDefault="00F956EA" w:rsidP="00D35318">
            <w:pPr>
              <w:pStyle w:val="1"/>
              <w:spacing w:after="0" w:line="240" w:lineRule="auto"/>
              <w:ind w:firstLine="31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місцеве самоврядування</w:t>
            </w:r>
            <w:r w:rsidRPr="000E16E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в Україні»,</w:t>
            </w:r>
          </w:p>
          <w:p w:rsidR="00D35318" w:rsidRDefault="00F956EA" w:rsidP="00D35318">
            <w:pPr>
              <w:tabs>
                <w:tab w:val="left" w:pos="490"/>
              </w:tabs>
              <w:spacing w:after="0" w:line="240" w:lineRule="auto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</w:t>
            </w:r>
            <w:r w:rsidR="009816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громадян</w:t>
            </w:r>
            <w:r w:rsidR="00D353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</w:p>
          <w:p w:rsidR="00F956EA" w:rsidRDefault="00D35318" w:rsidP="00D35318">
            <w:pPr>
              <w:tabs>
                <w:tab w:val="left" w:pos="490"/>
              </w:tabs>
              <w:spacing w:after="0" w:line="240" w:lineRule="auto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доступ до публічної інформац</w:t>
            </w:r>
            <w:r w:rsidR="00B26C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ї»;</w:t>
            </w:r>
          </w:p>
          <w:p w:rsidR="00F956EA" w:rsidRDefault="00F956EA" w:rsidP="006C5CA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1810;</w:t>
            </w:r>
          </w:p>
          <w:p w:rsidR="00F956EA" w:rsidRDefault="006C5CA0" w:rsidP="00D35318">
            <w:pPr>
              <w:spacing w:after="0" w:line="240" w:lineRule="auto"/>
              <w:ind w:firstLine="318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Положення про управління контрольно-аналітичного забезпечення заступників голови Київської міської державної адміністрації апарату виконавчого органу Київської міської ради (Київської міської державної адміністрації), затвердженого розпорядженням</w:t>
            </w:r>
            <w:r w:rsidR="009816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органу Київської міської ради (Київської міської державної адміністрації) від 27 квітня 2016 року № 294.</w:t>
            </w:r>
          </w:p>
        </w:tc>
      </w:tr>
    </w:tbl>
    <w:p w:rsidR="00F956EA" w:rsidRDefault="00F956EA" w:rsidP="00F956EA">
      <w:pPr>
        <w:rPr>
          <w:lang w:val="uk-UA"/>
        </w:rPr>
      </w:pPr>
    </w:p>
    <w:p w:rsidR="001B5488" w:rsidRPr="00B61C4B" w:rsidRDefault="001F319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956EA">
        <w:rPr>
          <w:rFonts w:ascii="Times New Roman" w:hAnsi="Times New Roman" w:cs="Times New Roman"/>
          <w:sz w:val="28"/>
          <w:szCs w:val="28"/>
          <w:lang w:val="uk-UA"/>
        </w:rPr>
        <w:t>ерівник апарату</w:t>
      </w:r>
      <w:r w:rsidR="00F956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56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56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56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56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56EA" w:rsidRPr="000E16ED">
        <w:rPr>
          <w:rFonts w:ascii="Times New Roman" w:hAnsi="Times New Roman" w:cs="Times New Roman"/>
          <w:sz w:val="28"/>
          <w:szCs w:val="28"/>
        </w:rPr>
        <w:t xml:space="preserve">     </w:t>
      </w:r>
      <w:r w:rsidR="00F95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Дмитро ЗАГУМЕННИЙ</w:t>
      </w:r>
    </w:p>
    <w:sectPr w:rsidR="001B5488" w:rsidRPr="00B6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56C"/>
    <w:multiLevelType w:val="hybridMultilevel"/>
    <w:tmpl w:val="8ADEE052"/>
    <w:lvl w:ilvl="0" w:tplc="77B85118">
      <w:start w:val="2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29"/>
    <w:rsid w:val="00027990"/>
    <w:rsid w:val="000C64AB"/>
    <w:rsid w:val="001B5488"/>
    <w:rsid w:val="001D1425"/>
    <w:rsid w:val="001F319D"/>
    <w:rsid w:val="003A1896"/>
    <w:rsid w:val="003F766C"/>
    <w:rsid w:val="00472840"/>
    <w:rsid w:val="006B315E"/>
    <w:rsid w:val="006C5CA0"/>
    <w:rsid w:val="006D1629"/>
    <w:rsid w:val="007677E1"/>
    <w:rsid w:val="008E1ACE"/>
    <w:rsid w:val="008F7BE5"/>
    <w:rsid w:val="00933468"/>
    <w:rsid w:val="009410A1"/>
    <w:rsid w:val="009816D9"/>
    <w:rsid w:val="009E0833"/>
    <w:rsid w:val="009F5453"/>
    <w:rsid w:val="00A7272E"/>
    <w:rsid w:val="00A77166"/>
    <w:rsid w:val="00A86CED"/>
    <w:rsid w:val="00B26CAD"/>
    <w:rsid w:val="00B61C4B"/>
    <w:rsid w:val="00D16BF1"/>
    <w:rsid w:val="00D35318"/>
    <w:rsid w:val="00D96B01"/>
    <w:rsid w:val="00E168F2"/>
    <w:rsid w:val="00E24ED7"/>
    <w:rsid w:val="00F30191"/>
    <w:rsid w:val="00F851CB"/>
    <w:rsid w:val="00F956EA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B61C4B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B61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B61C4B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B61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2018-10-31T09:07:00Z</cp:lastPrinted>
  <dcterms:created xsi:type="dcterms:W3CDTF">2018-05-05T09:39:00Z</dcterms:created>
  <dcterms:modified xsi:type="dcterms:W3CDTF">2018-11-01T10:59:00Z</dcterms:modified>
</cp:coreProperties>
</file>