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9" w:rsidRDefault="007069D9" w:rsidP="00056DF4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069D9" w:rsidRDefault="007069D9" w:rsidP="00056DF4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7069D9" w:rsidRDefault="007069D9" w:rsidP="00056DF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7069D9" w:rsidRDefault="007069D9" w:rsidP="00056DF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7069D9" w:rsidRDefault="007069D9" w:rsidP="00056DF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7069D9" w:rsidRDefault="007069D9" w:rsidP="00056DF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7069D9" w:rsidRPr="00BE0C48" w:rsidRDefault="007069D9" w:rsidP="00056DF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E0C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від 07 серпня 2019 року  №  48</w:t>
      </w:r>
    </w:p>
    <w:p w:rsidR="007069D9" w:rsidRDefault="007069D9" w:rsidP="00056DF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7069D9" w:rsidRDefault="007069D9" w:rsidP="00056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069D9" w:rsidRDefault="007069D9" w:rsidP="000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головного спеціаліста відділу </w:t>
      </w:r>
      <w:r w:rsidR="0086663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66C0C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публічної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управління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 (категорія «В») </w:t>
      </w:r>
    </w:p>
    <w:p w:rsidR="007069D9" w:rsidRDefault="007069D9" w:rsidP="0005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7069D9" w:rsidTr="007069D9">
        <w:tc>
          <w:tcPr>
            <w:tcW w:w="9889" w:type="dxa"/>
            <w:gridSpan w:val="4"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7069D9" w:rsidRPr="00402D78" w:rsidTr="007069D9">
        <w:tc>
          <w:tcPr>
            <w:tcW w:w="2660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402D78" w:rsidRPr="00F92992" w:rsidRDefault="00402D78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доступу до публічної інформації </w:t>
            </w:r>
            <w:r w:rsidRPr="00402D7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інформаційного забезпечення та доступу до публічної інформації апарату виконавчого органу Київської міської ради (Київської міської державної адміністрації):</w:t>
            </w:r>
          </w:p>
          <w:p w:rsidR="00A542E4" w:rsidRDefault="00A542E4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прийом, попередній розгляд</w:t>
            </w:r>
            <w:r w:rsidR="005258DE" w:rsidRPr="005258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258DE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реєстрацію  запитів на інформацію, що над</w:t>
            </w:r>
            <w:r w:rsidR="005258DE">
              <w:rPr>
                <w:rFonts w:ascii="Times New Roman" w:hAnsi="Times New Roman"/>
                <w:sz w:val="28"/>
                <w:szCs w:val="28"/>
                <w:lang w:val="uk-UA"/>
              </w:rPr>
              <w:t>ійшли на адресу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 і </w:t>
            </w:r>
            <w:r w:rsidR="005258DE">
              <w:rPr>
                <w:rFonts w:ascii="Times New Roman" w:hAnsi="Times New Roman"/>
                <w:sz w:val="28"/>
                <w:szCs w:val="28"/>
                <w:lang w:val="uk-UA"/>
              </w:rPr>
              <w:t>передає їх в установленому порядку на розгляд посадови особам Київської міської державної адміністрації, до компетенції яких входить розгляд запитів на інформацію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5258DE" w:rsidRDefault="005258DE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готує проекти доручень керівництва щодо розгляду запитів на інформацію та інших питань, що стосуються функцій відділу;</w:t>
            </w:r>
          </w:p>
          <w:p w:rsidR="00C1663A" w:rsidRPr="00A542E4" w:rsidRDefault="00C1663A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контроль за наданням 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>структурни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ами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районними в місті Києві державними адміністраціями відповідей на запити в порядку та у строки, визначені Законом України «Про доступ до публічної інформації»</w:t>
            </w:r>
            <w:r w:rsidRPr="00A542E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1663A" w:rsidRDefault="005258DE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 своєчасну підготовку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відповідей на запити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отримання публічної інформації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>, розпорядником якої є апарат виконавчого органу Київської міської ради (Київської м</w:t>
            </w:r>
            <w:r w:rsidR="00C1663A">
              <w:rPr>
                <w:rFonts w:ascii="Times New Roman" w:hAnsi="Times New Roman"/>
                <w:sz w:val="28"/>
                <w:szCs w:val="28"/>
                <w:lang w:val="uk-UA"/>
              </w:rPr>
              <w:t>іської державної адміністрації);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1663A" w:rsidRDefault="001E11FD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 інформування запитувача у разі направлення запиту на інформацію належному розпоряднику інформації відповідно до частини третьої статті 22 Закону України «Про доступ до публічної інформації»;</w:t>
            </w:r>
          </w:p>
          <w:p w:rsidR="001E11FD" w:rsidRDefault="001E11FD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готує інформацію для оприлюднення на Єдиному веб-порталі територіальної громади міста Києва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надходження, опрацювання та виконання запитів на публічну інформацію, що надійшли до виконавчого органу Київської міської ради (Київської міської державної адміністрації);</w:t>
            </w:r>
          </w:p>
          <w:p w:rsidR="001E11FD" w:rsidRDefault="001E11FD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оприлюднення інформації, розпорядником якої є апарат виконавчого органу Київської міської ради (Київської міської державної адміністрації) у формі відкритих даних;</w:t>
            </w:r>
          </w:p>
          <w:p w:rsidR="001E11FD" w:rsidRDefault="001E11FD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вивчає та поширює досвід роботи забезпечення права громадян на доступ до публічної інформації;</w:t>
            </w:r>
          </w:p>
          <w:p w:rsidR="001E11FD" w:rsidRDefault="001E11FD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надає практичну та методичну допомогу співробітникам відділу, управління та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адміністрацій з питань роботи із запитами на інформацію, оприлюднення та регулярного оновлення інформації у формі відкритих даних; </w:t>
            </w:r>
          </w:p>
          <w:p w:rsidR="00A542E4" w:rsidRPr="00A542E4" w:rsidRDefault="001E11FD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 участь у розробці організаційно-методичних документів, пов’язаних з порядком та організацією 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опрацювання запитів на 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>інформаці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оприлюднення та регулярного оновлення інформації у формі відкритих даних</w:t>
            </w:r>
            <w:r w:rsidR="00A542E4" w:rsidRPr="00A542E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C1663A" w:rsidRDefault="004A5AB0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підготовці та проведенні семінарів, тренінгів, нарад з питань, що стосуються повноважень відділу;</w:t>
            </w:r>
          </w:p>
          <w:p w:rsidR="004A5AB0" w:rsidRDefault="004A5AB0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подає начальнику відділу та начальнику управління </w:t>
            </w:r>
            <w:r w:rsidR="00B64FD0">
              <w:rPr>
                <w:rFonts w:ascii="Times New Roman" w:hAnsi="Times New Roman"/>
                <w:sz w:val="28"/>
                <w:szCs w:val="28"/>
                <w:lang w:val="uk-UA"/>
              </w:rPr>
              <w:t>пропозиції щодо удосконалення порядку доступу до публічної інформації у структурних підрозділах виконавчого органу Київської міської ради (Київської міської державної адміністрації) та районних в місті Києві державних адміністраціях;</w:t>
            </w:r>
          </w:p>
          <w:p w:rsidR="00B64FD0" w:rsidRPr="00A542E4" w:rsidRDefault="00B64FD0" w:rsidP="00056DF4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дорученням начальника відділу готує та надає до органів влади вищого рівня довідково-статистичну інформацію, в частині, що стосується запитів на інформацію та оприлюднення інформації у формі відкритих даних;</w:t>
            </w:r>
          </w:p>
          <w:p w:rsidR="007069D9" w:rsidRPr="00A854AD" w:rsidRDefault="00A542E4" w:rsidP="00056DF4">
            <w:pPr>
              <w:tabs>
                <w:tab w:val="left" w:pos="34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="007069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здійснює інші, передбачені законодавством, повноваження.</w:t>
            </w:r>
            <w:r w:rsidR="0070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54AD" w:rsidRPr="00A854AD" w:rsidRDefault="00A854AD" w:rsidP="00056DF4">
            <w:pPr>
              <w:tabs>
                <w:tab w:val="left" w:pos="34"/>
              </w:tabs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7069D9" w:rsidRDefault="007069D9" w:rsidP="00056DF4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головного спеціаліста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2D78"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67356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доступу до публічної інфомрації</w:t>
            </w:r>
            <w:r w:rsidR="00402D78" w:rsidRPr="00402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інформаційного забезпечення та доступу до публічної інформації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 5110,00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(у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коефіцієнтах), затвердженої постановою Кабінету Міністрів України від 18 січня 2017 року № 15 (в редакції постанови Кабінету Міністрів України від 06 лютого 2019 року № 102);</w:t>
            </w:r>
          </w:p>
          <w:p w:rsidR="007069D9" w:rsidRPr="00A854AD" w:rsidRDefault="007069D9" w:rsidP="00056DF4">
            <w:pPr>
              <w:pStyle w:val="a3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4A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A854AD"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 w:rsidRPr="00A854AD"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 w:rsidRPr="00A854AD"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 w:rsidRPr="00A854A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854AD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A854A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A854AD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A854AD"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 w:rsidRPr="00A854AD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A854AD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A854AD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A854AD"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 w:rsidRPr="00A854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854AD" w:rsidRPr="00A854AD" w:rsidRDefault="00A854AD" w:rsidP="00056DF4">
            <w:pPr>
              <w:pStyle w:val="a3"/>
              <w:ind w:left="1125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056DF4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  <w:p w:rsidR="00056DF4" w:rsidRPr="00056DF4" w:rsidRDefault="00056DF4" w:rsidP="00056DF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29" w:type="dxa"/>
            <w:gridSpan w:val="2"/>
          </w:tcPr>
          <w:p w:rsidR="007069D9" w:rsidRDefault="007069D9" w:rsidP="00056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7069D9" w:rsidRDefault="007069D9" w:rsidP="00056DF4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6C0C" w:rsidRDefault="00066C0C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056DF4" w:rsidRDefault="00056DF4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056DF4" w:rsidRDefault="00056DF4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056DF4" w:rsidRDefault="00056DF4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056DF4" w:rsidRDefault="00056DF4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056DF4" w:rsidRDefault="00056DF4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056DF4" w:rsidRPr="00056DF4" w:rsidRDefault="00056DF4" w:rsidP="00056DF4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7E45B7" w:rsidRPr="00BE0C48" w:rsidRDefault="007E45B7" w:rsidP="00056D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E45B7" w:rsidRPr="00BE0C48" w:rsidRDefault="007E45B7" w:rsidP="00056DF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854AD" w:rsidRPr="00A854AD" w:rsidRDefault="00A854AD" w:rsidP="00056DF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29" w:type="dxa"/>
            <w:gridSpan w:val="2"/>
            <w:hideMark/>
          </w:tcPr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1"/>
            <w:bookmarkEnd w:id="0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>
              <w:rPr>
                <w:color w:val="000000"/>
                <w:sz w:val="28"/>
                <w:szCs w:val="28"/>
              </w:rPr>
              <w:t>2) 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3"/>
            <w:bookmarkEnd w:id="2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</w:rPr>
              <w:t>4) копію (копії) документа (документів) про освіту;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End w:id="4"/>
            <w:r>
              <w:rPr>
                <w:color w:val="000000"/>
                <w:sz w:val="28"/>
                <w:szCs w:val="28"/>
              </w:rPr>
              <w:t>6)</w:t>
            </w:r>
            <w:bookmarkStart w:id="5" w:name="n76"/>
            <w:bookmarkEnd w:id="5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78"/>
            <w:bookmarkStart w:id="7" w:name="n77"/>
            <w:bookmarkEnd w:id="6"/>
            <w:bookmarkEnd w:id="7"/>
            <w:r>
              <w:rPr>
                <w:color w:val="000000"/>
                <w:sz w:val="28"/>
                <w:szCs w:val="28"/>
              </w:rPr>
              <w:t>7) декларацію особи, уповноваженої на виконання функцій держави або місцевого самоврядування, за минулий рік;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7069D9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66C0C" w:rsidRDefault="007069D9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приймаються до 1</w:t>
            </w:r>
            <w:r w:rsidR="00AC7F20" w:rsidRPr="005258DE">
              <w:rPr>
                <w:color w:val="000000"/>
                <w:sz w:val="28"/>
                <w:szCs w:val="28"/>
                <w:lang w:val="ru-RU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AC7F20" w:rsidRPr="005258DE">
              <w:rPr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66C0C">
              <w:rPr>
                <w:color w:val="000000"/>
                <w:sz w:val="28"/>
                <w:szCs w:val="28"/>
              </w:rPr>
              <w:t>2</w:t>
            </w:r>
            <w:r w:rsidR="00AC7F20" w:rsidRPr="005258DE">
              <w:rPr>
                <w:color w:val="000000"/>
                <w:sz w:val="28"/>
                <w:szCs w:val="28"/>
                <w:lang w:val="ru-RU"/>
              </w:rPr>
              <w:t>2</w:t>
            </w:r>
            <w:r w:rsidR="00EE18DF" w:rsidRPr="00EE18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6C0C">
              <w:rPr>
                <w:color w:val="000000"/>
                <w:sz w:val="28"/>
                <w:szCs w:val="28"/>
                <w:lang w:val="ru-RU"/>
              </w:rPr>
              <w:t>серпня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2019 року.</w:t>
            </w:r>
          </w:p>
          <w:p w:rsidR="00066C0C" w:rsidRPr="00066C0C" w:rsidRDefault="00066C0C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12"/>
                <w:szCs w:val="12"/>
              </w:rPr>
            </w:pPr>
          </w:p>
          <w:p w:rsidR="00066C0C" w:rsidRPr="00066C0C" w:rsidRDefault="00066C0C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sz w:val="12"/>
                <w:szCs w:val="12"/>
              </w:rPr>
            </w:pPr>
          </w:p>
        </w:tc>
      </w:tr>
      <w:tr w:rsidR="00056DF4" w:rsidTr="007069D9">
        <w:tc>
          <w:tcPr>
            <w:tcW w:w="2660" w:type="dxa"/>
            <w:gridSpan w:val="2"/>
          </w:tcPr>
          <w:p w:rsidR="00056DF4" w:rsidRPr="00056DF4" w:rsidRDefault="00056DF4" w:rsidP="0005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056DF4" w:rsidRDefault="00056DF4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056DF4" w:rsidRPr="00056DF4" w:rsidRDefault="00056DF4" w:rsidP="00056DF4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Pr="00056DF4" w:rsidRDefault="00066C0C" w:rsidP="00056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70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час і дата початку</w:t>
            </w:r>
            <w:r w:rsidR="00706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тестування</w:t>
            </w:r>
          </w:p>
          <w:p w:rsidR="00BE0C48" w:rsidRPr="00056DF4" w:rsidRDefault="00BE0C48" w:rsidP="00056D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hideMark/>
          </w:tcPr>
          <w:p w:rsidR="007069D9" w:rsidRDefault="007069D9" w:rsidP="00056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E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 о 10.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7069D9" w:rsidTr="007069D9">
        <w:tc>
          <w:tcPr>
            <w:tcW w:w="2660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7069D9" w:rsidRDefault="00384AF6" w:rsidP="00056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7069D9" w:rsidTr="007069D9">
        <w:tc>
          <w:tcPr>
            <w:tcW w:w="9889" w:type="dxa"/>
            <w:gridSpan w:val="4"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7069D9" w:rsidRPr="00A854AD" w:rsidTr="007069D9">
        <w:tc>
          <w:tcPr>
            <w:tcW w:w="534" w:type="dxa"/>
            <w:hideMark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7069D9" w:rsidRDefault="007069D9" w:rsidP="00056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85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</w:t>
            </w:r>
            <w:r w:rsidR="00A85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а, ступінь вищої </w:t>
            </w:r>
            <w:r w:rsidRPr="00A85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</w:t>
            </w:r>
            <w:r w:rsidR="00A85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нижче бакалавра, молодшого бакалавра</w:t>
            </w:r>
          </w:p>
          <w:p w:rsidR="00A854AD" w:rsidRPr="00A854AD" w:rsidRDefault="00A854AD" w:rsidP="00056DF4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69D9" w:rsidRPr="00A854AD" w:rsidTr="007069D9">
        <w:tc>
          <w:tcPr>
            <w:tcW w:w="534" w:type="dxa"/>
            <w:hideMark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7069D9" w:rsidRDefault="007069D9" w:rsidP="00056DF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  <w:p w:rsidR="00A854AD" w:rsidRPr="00A854AD" w:rsidRDefault="00A854AD" w:rsidP="00056DF4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7069D9" w:rsidTr="007069D9">
        <w:tc>
          <w:tcPr>
            <w:tcW w:w="534" w:type="dxa"/>
            <w:hideMark/>
          </w:tcPr>
          <w:p w:rsidR="00066C0C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6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56DF4" w:rsidRPr="00056DF4" w:rsidRDefault="00056DF4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  <w:hideMark/>
          </w:tcPr>
          <w:p w:rsidR="00066C0C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  <w:p w:rsidR="00056DF4" w:rsidRPr="00056DF4" w:rsidRDefault="00056DF4" w:rsidP="00056DF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8" w:name="_GoBack"/>
            <w:bookmarkEnd w:id="8"/>
          </w:p>
        </w:tc>
        <w:tc>
          <w:tcPr>
            <w:tcW w:w="6520" w:type="dxa"/>
            <w:hideMark/>
          </w:tcPr>
          <w:p w:rsidR="00A854AD" w:rsidRPr="00A854AD" w:rsidRDefault="007069D9" w:rsidP="00056DF4">
            <w:pPr>
              <w:tabs>
                <w:tab w:val="left" w:pos="5445"/>
              </w:tabs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  <w:r w:rsidR="00056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066C0C" w:rsidRDefault="00066C0C" w:rsidP="00056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6DF4" w:rsidTr="007069D9">
        <w:tc>
          <w:tcPr>
            <w:tcW w:w="534" w:type="dxa"/>
          </w:tcPr>
          <w:p w:rsidR="00056DF4" w:rsidRDefault="00056DF4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  <w:gridSpan w:val="2"/>
          </w:tcPr>
          <w:p w:rsidR="00056DF4" w:rsidRDefault="00056DF4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520" w:type="dxa"/>
          </w:tcPr>
          <w:p w:rsidR="00056DF4" w:rsidRDefault="00056DF4" w:rsidP="00056DF4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вимагається</w:t>
            </w:r>
          </w:p>
        </w:tc>
      </w:tr>
      <w:tr w:rsidR="007069D9" w:rsidTr="007069D9">
        <w:trPr>
          <w:trHeight w:val="507"/>
        </w:trPr>
        <w:tc>
          <w:tcPr>
            <w:tcW w:w="9889" w:type="dxa"/>
            <w:gridSpan w:val="4"/>
            <w:hideMark/>
          </w:tcPr>
          <w:p w:rsidR="007069D9" w:rsidRDefault="007069D9" w:rsidP="00056DF4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A854AD" w:rsidRDefault="00A854AD" w:rsidP="00056D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69D9" w:rsidTr="007069D9">
        <w:trPr>
          <w:trHeight w:val="2399"/>
        </w:trPr>
        <w:tc>
          <w:tcPr>
            <w:tcW w:w="534" w:type="dxa"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7069D9" w:rsidRDefault="007069D9" w:rsidP="00056DF4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7069D9" w:rsidRDefault="007069D9" w:rsidP="00056DF4">
            <w:pPr>
              <w:ind w:firstLine="318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B87436" w:rsidRPr="00B87436" w:rsidRDefault="007069D9" w:rsidP="00056D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B87436" w:rsidRPr="00B87436">
              <w:rPr>
                <w:rFonts w:ascii="Times New Roman" w:hAnsi="Times New Roman"/>
                <w:sz w:val="28"/>
                <w:szCs w:val="28"/>
                <w:lang w:val="uk-UA"/>
              </w:rPr>
              <w:t>уміння організовувати та планувати роботу;</w:t>
            </w:r>
          </w:p>
          <w:p w:rsidR="00B87436" w:rsidRPr="00B87436" w:rsidRDefault="00B87436" w:rsidP="00056D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результату;</w:t>
            </w:r>
          </w:p>
          <w:p w:rsidR="00B87436" w:rsidRPr="00B87436" w:rsidRDefault="00B87436" w:rsidP="00056D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збір та аналіз інформації;</w:t>
            </w:r>
          </w:p>
          <w:p w:rsidR="00B87436" w:rsidRPr="00B87436" w:rsidRDefault="00B87436" w:rsidP="00056D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 та уникати конфліктних ситуацій;</w:t>
            </w:r>
          </w:p>
          <w:p w:rsidR="00B87436" w:rsidRPr="00B87436" w:rsidRDefault="00B87436" w:rsidP="00056D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стресових ситуаціях;</w:t>
            </w:r>
          </w:p>
          <w:p w:rsidR="007069D9" w:rsidRDefault="00B87436" w:rsidP="00056DF4">
            <w:pPr>
              <w:pStyle w:val="1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B87436">
              <w:rPr>
                <w:sz w:val="28"/>
                <w:szCs w:val="28"/>
                <w:lang w:val="uk-UA"/>
              </w:rPr>
              <w:t>самостійність в роботі</w:t>
            </w:r>
          </w:p>
          <w:p w:rsidR="00B87436" w:rsidRDefault="00B87436" w:rsidP="00056DF4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7069D9" w:rsidRPr="00056DF4" w:rsidTr="007069D9">
        <w:tc>
          <w:tcPr>
            <w:tcW w:w="534" w:type="dxa"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7436" w:rsidRPr="00BE0C48" w:rsidRDefault="00B87436" w:rsidP="00056DF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7436" w:rsidRPr="00BE0C48" w:rsidRDefault="00B87436" w:rsidP="00056DF4">
            <w:pPr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7069D9" w:rsidRDefault="007069D9" w:rsidP="00056DF4">
            <w:pPr>
              <w:pStyle w:val="1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</w:p>
          <w:p w:rsidR="00B87436" w:rsidRPr="00BE0C48" w:rsidRDefault="00B87436" w:rsidP="00056DF4">
            <w:pPr>
              <w:pStyle w:val="1"/>
              <w:spacing w:after="0"/>
              <w:ind w:left="33"/>
              <w:jc w:val="both"/>
              <w:rPr>
                <w:color w:val="000000"/>
                <w:sz w:val="12"/>
                <w:szCs w:val="12"/>
                <w:lang w:val="uk-UA" w:eastAsia="en-US"/>
              </w:rPr>
            </w:pPr>
          </w:p>
          <w:p w:rsidR="007069D9" w:rsidRDefault="007069D9" w:rsidP="00056DF4">
            <w:pPr>
              <w:pStyle w:val="1"/>
              <w:spacing w:after="0"/>
              <w:ind w:left="33"/>
              <w:jc w:val="both"/>
              <w:rPr>
                <w:sz w:val="12"/>
                <w:szCs w:val="12"/>
                <w:lang w:val="uk-UA" w:eastAsia="en-US"/>
              </w:rPr>
            </w:pPr>
          </w:p>
        </w:tc>
      </w:tr>
      <w:tr w:rsidR="00056DF4" w:rsidRPr="00056DF4" w:rsidTr="007069D9">
        <w:tc>
          <w:tcPr>
            <w:tcW w:w="534" w:type="dxa"/>
          </w:tcPr>
          <w:p w:rsidR="00056DF4" w:rsidRDefault="00056DF4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</w:tcPr>
          <w:p w:rsidR="00056DF4" w:rsidRDefault="00056DF4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056DF4" w:rsidRDefault="00056DF4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056DF4" w:rsidRDefault="00056DF4" w:rsidP="00056DF4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відповідальність;</w:t>
            </w:r>
          </w:p>
          <w:p w:rsidR="00056DF4" w:rsidRDefault="00056DF4" w:rsidP="00056DF4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системність;</w:t>
            </w:r>
          </w:p>
          <w:p w:rsidR="00056DF4" w:rsidRDefault="00056DF4" w:rsidP="00056DF4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дисциплінованість;</w:t>
            </w:r>
          </w:p>
          <w:p w:rsidR="00056DF4" w:rsidRDefault="00056DF4" w:rsidP="00056DF4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сумлінність;</w:t>
            </w:r>
          </w:p>
          <w:p w:rsidR="00056DF4" w:rsidRDefault="00056DF4" w:rsidP="00056DF4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ініціативність</w:t>
            </w:r>
          </w:p>
          <w:p w:rsidR="00056DF4" w:rsidRDefault="00056DF4" w:rsidP="00056DF4">
            <w:pPr>
              <w:pStyle w:val="1"/>
              <w:spacing w:after="0"/>
              <w:ind w:left="33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комунікабельність.</w:t>
            </w:r>
          </w:p>
        </w:tc>
      </w:tr>
      <w:tr w:rsidR="007069D9" w:rsidTr="007069D9">
        <w:tc>
          <w:tcPr>
            <w:tcW w:w="9889" w:type="dxa"/>
            <w:gridSpan w:val="4"/>
          </w:tcPr>
          <w:p w:rsidR="007069D9" w:rsidRDefault="007069D9" w:rsidP="00056DF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7069D9" w:rsidRDefault="007069D9" w:rsidP="00056DF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7069D9" w:rsidTr="007069D9">
        <w:tc>
          <w:tcPr>
            <w:tcW w:w="534" w:type="dxa"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7069D9" w:rsidRDefault="007069D9" w:rsidP="00056DF4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7069D9" w:rsidRDefault="007069D9" w:rsidP="00056DF4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7069D9" w:rsidTr="007069D9">
        <w:tc>
          <w:tcPr>
            <w:tcW w:w="534" w:type="dxa"/>
            <w:hideMark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7069D9" w:rsidRDefault="007069D9" w:rsidP="00056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7069D9" w:rsidRDefault="007069D9" w:rsidP="00056DF4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7069D9" w:rsidRDefault="007069D9" w:rsidP="00056DF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7069D9" w:rsidRDefault="007069D9" w:rsidP="00056DF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Закону України «Про державну службу»,</w:t>
            </w:r>
          </w:p>
          <w:p w:rsidR="007069D9" w:rsidRDefault="007069D9" w:rsidP="00056DF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7069D9" w:rsidRDefault="007069D9" w:rsidP="00056DF4">
            <w:pPr>
              <w:ind w:firstLine="3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7069D9" w:rsidRPr="00056DF4" w:rsidTr="007069D9">
        <w:tc>
          <w:tcPr>
            <w:tcW w:w="534" w:type="dxa"/>
          </w:tcPr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91C" w:rsidRDefault="0019091C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069D9" w:rsidRDefault="007069D9" w:rsidP="00056D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7069D9" w:rsidRDefault="007069D9" w:rsidP="00056DF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7069D9" w:rsidRDefault="007069D9" w:rsidP="00056DF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19091C" w:rsidRPr="00B87436" w:rsidRDefault="0019091C" w:rsidP="00056DF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доступ до публічної інформації»;</w:t>
            </w:r>
          </w:p>
          <w:p w:rsidR="0019091C" w:rsidRPr="00B87436" w:rsidRDefault="0019091C" w:rsidP="00056DF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інформацію»;</w:t>
            </w:r>
          </w:p>
          <w:p w:rsidR="0019091C" w:rsidRDefault="0019091C" w:rsidP="00056DF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захист персональних даних»</w:t>
            </w:r>
          </w:p>
          <w:p w:rsidR="00B87436" w:rsidRPr="00B87436" w:rsidRDefault="00B87436" w:rsidP="00056DF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місцеве самоврядування в Україні»;</w:t>
            </w:r>
          </w:p>
          <w:p w:rsidR="00B87436" w:rsidRPr="00B87436" w:rsidRDefault="0019091C" w:rsidP="00056DF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74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87436" w:rsidRPr="00B87436">
              <w:rPr>
                <w:rFonts w:ascii="Times New Roman" w:hAnsi="Times New Roman"/>
                <w:sz w:val="28"/>
                <w:szCs w:val="28"/>
                <w:lang w:val="uk-UA"/>
              </w:rPr>
              <w:t>«Про звернення громадян»;</w:t>
            </w:r>
          </w:p>
          <w:p w:rsidR="007069D9" w:rsidRDefault="007069D9" w:rsidP="00056DF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1810;</w:t>
            </w:r>
          </w:p>
          <w:p w:rsidR="007069D9" w:rsidRDefault="007069D9" w:rsidP="00056DF4">
            <w:pPr>
              <w:tabs>
                <w:tab w:val="left" w:pos="490"/>
              </w:tabs>
              <w:suppressAutoHyphens/>
              <w:ind w:firstLine="318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-6"/>
                <w:sz w:val="32"/>
                <w:szCs w:val="32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Положення про управління </w:t>
            </w:r>
            <w:r w:rsidR="00B8743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інформаційного забезпечення та доступу до публічної інформації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27 квітня 2016 року № 294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2C2615" w:rsidRDefault="002C2615" w:rsidP="00056DF4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Дмитро ЗАГУМЕННИЙ</w:t>
      </w:r>
    </w:p>
    <w:p w:rsidR="007069D9" w:rsidRDefault="007069D9" w:rsidP="00056DF4">
      <w:pPr>
        <w:spacing w:after="0" w:line="240" w:lineRule="auto"/>
      </w:pPr>
    </w:p>
    <w:p w:rsidR="00140C0A" w:rsidRDefault="00140C0A"/>
    <w:sectPr w:rsidR="00140C0A" w:rsidSect="00BE0C4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B40"/>
    <w:multiLevelType w:val="hybridMultilevel"/>
    <w:tmpl w:val="3ACC08B4"/>
    <w:lvl w:ilvl="0" w:tplc="5628A06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8C"/>
    <w:rsid w:val="00051D6B"/>
    <w:rsid w:val="00056DF4"/>
    <w:rsid w:val="00066C0C"/>
    <w:rsid w:val="00140C0A"/>
    <w:rsid w:val="00171C61"/>
    <w:rsid w:val="0019091C"/>
    <w:rsid w:val="001E11FD"/>
    <w:rsid w:val="002C2615"/>
    <w:rsid w:val="00384AF6"/>
    <w:rsid w:val="00402D78"/>
    <w:rsid w:val="004A5AB0"/>
    <w:rsid w:val="004B44BD"/>
    <w:rsid w:val="005258DE"/>
    <w:rsid w:val="005F54F1"/>
    <w:rsid w:val="00643815"/>
    <w:rsid w:val="00667356"/>
    <w:rsid w:val="007069D9"/>
    <w:rsid w:val="007E45B7"/>
    <w:rsid w:val="00866639"/>
    <w:rsid w:val="00893A4D"/>
    <w:rsid w:val="008A7D63"/>
    <w:rsid w:val="00964C8C"/>
    <w:rsid w:val="00A542E4"/>
    <w:rsid w:val="00A854AD"/>
    <w:rsid w:val="00AC7F20"/>
    <w:rsid w:val="00B64FD0"/>
    <w:rsid w:val="00B87436"/>
    <w:rsid w:val="00BE0C48"/>
    <w:rsid w:val="00C1663A"/>
    <w:rsid w:val="00D112A6"/>
    <w:rsid w:val="00E07079"/>
    <w:rsid w:val="00EE18DF"/>
    <w:rsid w:val="00F92992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D9"/>
    <w:pPr>
      <w:ind w:left="720"/>
      <w:contextualSpacing/>
    </w:pPr>
  </w:style>
  <w:style w:type="paragraph" w:customStyle="1" w:styleId="rvps2">
    <w:name w:val="rvps2"/>
    <w:basedOn w:val="a"/>
    <w:rsid w:val="007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7069D9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706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02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2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87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D9"/>
    <w:pPr>
      <w:ind w:left="720"/>
      <w:contextualSpacing/>
    </w:pPr>
  </w:style>
  <w:style w:type="paragraph" w:customStyle="1" w:styleId="rvps2">
    <w:name w:val="rvps2"/>
    <w:basedOn w:val="a"/>
    <w:rsid w:val="007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7069D9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706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02D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2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B87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2019-08-07T09:19:00Z</cp:lastPrinted>
  <dcterms:created xsi:type="dcterms:W3CDTF">2019-05-30T08:21:00Z</dcterms:created>
  <dcterms:modified xsi:type="dcterms:W3CDTF">2019-08-07T10:10:00Z</dcterms:modified>
</cp:coreProperties>
</file>