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0A" w:rsidRPr="00A402FE" w:rsidRDefault="00CB410A" w:rsidP="00CB410A">
      <w:pPr>
        <w:pStyle w:val="rvps7"/>
        <w:shd w:val="clear" w:color="auto" w:fill="FFFFFF"/>
        <w:spacing w:before="0" w:beforeAutospacing="0" w:after="0" w:afterAutospacing="0"/>
        <w:ind w:right="450" w:firstLine="450"/>
        <w:jc w:val="both"/>
        <w:textAlignment w:val="baseline"/>
        <w:rPr>
          <w:rFonts w:eastAsiaTheme="minorHAnsi"/>
          <w:b/>
          <w:sz w:val="27"/>
          <w:szCs w:val="27"/>
          <w:lang w:val="uk-UA" w:eastAsia="en-US"/>
        </w:rPr>
      </w:pPr>
      <w:r w:rsidRPr="00A402FE">
        <w:rPr>
          <w:rFonts w:eastAsiaTheme="minorHAnsi"/>
          <w:b/>
          <w:sz w:val="27"/>
          <w:szCs w:val="27"/>
          <w:lang w:val="uk-UA" w:eastAsia="en-US"/>
        </w:rPr>
        <w:t xml:space="preserve">Штрафи за порушення правил паркування передбачені Статтею 122 </w:t>
      </w:r>
      <w:proofErr w:type="spellStart"/>
      <w:r w:rsidRPr="00A402FE">
        <w:rPr>
          <w:rFonts w:eastAsiaTheme="minorHAnsi"/>
          <w:b/>
          <w:sz w:val="27"/>
          <w:szCs w:val="27"/>
          <w:lang w:val="uk-UA" w:eastAsia="en-US"/>
        </w:rPr>
        <w:t>КУпАП</w:t>
      </w:r>
      <w:proofErr w:type="spellEnd"/>
      <w:r w:rsidRPr="00A402FE">
        <w:rPr>
          <w:rFonts w:eastAsiaTheme="minorHAnsi"/>
          <w:b/>
          <w:sz w:val="27"/>
          <w:szCs w:val="27"/>
          <w:lang w:val="uk-UA" w:eastAsia="en-US"/>
        </w:rPr>
        <w:t xml:space="preserve"> - Перевищення встановлених обмежень швидкості руху, проїзд на заборонний сигнал регулювання дорожнього руху та порушення інших правил дорожнього руху</w:t>
      </w:r>
    </w:p>
    <w:p w:rsidR="00CB410A" w:rsidRPr="00BC3601" w:rsidRDefault="00CB410A" w:rsidP="00CB410A">
      <w:pPr>
        <w:pStyle w:val="rvps7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Fonts w:eastAsiaTheme="minorHAnsi"/>
          <w:sz w:val="27"/>
          <w:szCs w:val="27"/>
          <w:lang w:val="uk-UA" w:eastAsia="en-US"/>
        </w:rPr>
      </w:pPr>
    </w:p>
    <w:p w:rsidR="00CB410A" w:rsidRPr="00A402FE" w:rsidRDefault="00CB410A" w:rsidP="00CB41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eastAsiaTheme="minorHAnsi"/>
          <w:i/>
          <w:sz w:val="27"/>
          <w:szCs w:val="27"/>
          <w:lang w:val="uk-UA" w:eastAsia="en-US"/>
        </w:rPr>
      </w:pPr>
      <w:bookmarkStart w:id="0" w:name="n3533"/>
      <w:bookmarkEnd w:id="0"/>
      <w:r w:rsidRPr="00A402FE">
        <w:rPr>
          <w:rFonts w:eastAsiaTheme="minorHAnsi"/>
          <w:i/>
          <w:sz w:val="27"/>
          <w:szCs w:val="27"/>
          <w:lang w:val="uk-UA" w:eastAsia="en-US"/>
        </w:rPr>
        <w:t xml:space="preserve">Перевищення встановлених обмежень швидкості руху транспортних засобів більш як на двадцять кілометрів на годину, </w:t>
      </w:r>
      <w:r w:rsidRPr="00A402FE">
        <w:rPr>
          <w:rFonts w:eastAsiaTheme="minorHAnsi"/>
          <w:b/>
          <w:i/>
          <w:sz w:val="27"/>
          <w:szCs w:val="27"/>
          <w:lang w:val="uk-UA" w:eastAsia="en-US"/>
        </w:rPr>
        <w:t>порушення</w:t>
      </w:r>
      <w:r w:rsidRPr="00A402FE">
        <w:rPr>
          <w:rFonts w:eastAsiaTheme="minorHAnsi"/>
          <w:i/>
          <w:sz w:val="27"/>
          <w:szCs w:val="27"/>
          <w:lang w:val="uk-UA" w:eastAsia="en-US"/>
        </w:rPr>
        <w:t xml:space="preserve"> вимог дорожніх знаків та розмітки проїзної частини доріг, </w:t>
      </w:r>
      <w:r w:rsidRPr="00A402FE">
        <w:rPr>
          <w:rFonts w:eastAsiaTheme="minorHAnsi"/>
          <w:b/>
          <w:i/>
          <w:sz w:val="27"/>
          <w:szCs w:val="27"/>
          <w:lang w:val="uk-UA" w:eastAsia="en-US"/>
        </w:rPr>
        <w:t>правил</w:t>
      </w:r>
      <w:r w:rsidRPr="00A402FE">
        <w:rPr>
          <w:rFonts w:eastAsiaTheme="minorHAnsi"/>
          <w:i/>
          <w:sz w:val="27"/>
          <w:szCs w:val="27"/>
          <w:lang w:val="uk-UA" w:eastAsia="en-US"/>
        </w:rPr>
        <w:t xml:space="preserve"> перевезення вантажів, буксирування транспортних засобів</w:t>
      </w:r>
      <w:r w:rsidRPr="00A402FE">
        <w:rPr>
          <w:rFonts w:eastAsiaTheme="minorHAnsi"/>
          <w:b/>
          <w:i/>
          <w:sz w:val="27"/>
          <w:szCs w:val="27"/>
          <w:lang w:val="uk-UA" w:eastAsia="en-US"/>
        </w:rPr>
        <w:t>, зупинки, стоянки</w:t>
      </w:r>
      <w:r w:rsidRPr="00A402FE">
        <w:rPr>
          <w:rFonts w:eastAsiaTheme="minorHAnsi"/>
          <w:i/>
          <w:sz w:val="27"/>
          <w:szCs w:val="27"/>
          <w:lang w:val="uk-UA" w:eastAsia="en-US"/>
        </w:rPr>
        <w:t>, проїзду пішохідних переходів, ненадання переваги у русі пішоходам на нерегульованих пішохідних переходах, а так само порушення встановленої для транспортних засобів заборони рухатися тротуарами чи пішохідними доріжками, -</w:t>
      </w:r>
    </w:p>
    <w:p w:rsidR="00CB410A" w:rsidRPr="00A402FE" w:rsidRDefault="00CB410A" w:rsidP="00CB41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eastAsiaTheme="minorHAnsi"/>
          <w:b/>
          <w:i/>
          <w:sz w:val="27"/>
          <w:szCs w:val="27"/>
          <w:lang w:val="uk-UA" w:eastAsia="en-US"/>
        </w:rPr>
      </w:pPr>
      <w:bookmarkStart w:id="1" w:name="n3534"/>
      <w:bookmarkEnd w:id="1"/>
      <w:r w:rsidRPr="00A402FE">
        <w:rPr>
          <w:rFonts w:eastAsiaTheme="minorHAnsi"/>
          <w:i/>
          <w:sz w:val="27"/>
          <w:szCs w:val="27"/>
          <w:lang w:val="uk-UA" w:eastAsia="en-US"/>
        </w:rPr>
        <w:br/>
      </w:r>
      <w:r w:rsidRPr="00A402FE">
        <w:rPr>
          <w:rFonts w:eastAsiaTheme="minorHAnsi"/>
          <w:b/>
          <w:i/>
          <w:sz w:val="27"/>
          <w:szCs w:val="27"/>
          <w:lang w:val="uk-UA" w:eastAsia="en-US"/>
        </w:rPr>
        <w:t>тягнуть за собою накладення штрафу в розмірі п’ятнадцяти неоподатковуваних мінімумів доходів громадян або 50 штрафних балів.</w:t>
      </w:r>
    </w:p>
    <w:p w:rsidR="00CB410A" w:rsidRPr="00A402FE" w:rsidRDefault="00CB410A" w:rsidP="00CB41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eastAsiaTheme="minorHAnsi"/>
          <w:i/>
          <w:sz w:val="27"/>
          <w:szCs w:val="27"/>
          <w:lang w:val="uk-UA" w:eastAsia="en-US"/>
        </w:rPr>
      </w:pPr>
      <w:r w:rsidRPr="00A402FE">
        <w:rPr>
          <w:rFonts w:eastAsiaTheme="minorHAnsi"/>
          <w:i/>
          <w:sz w:val="27"/>
          <w:szCs w:val="27"/>
          <w:lang w:val="uk-UA" w:eastAsia="en-US"/>
        </w:rPr>
        <w:t>…..</w:t>
      </w:r>
      <w:r>
        <w:rPr>
          <w:rFonts w:eastAsiaTheme="minorHAnsi"/>
          <w:i/>
          <w:sz w:val="27"/>
          <w:szCs w:val="27"/>
          <w:lang w:val="uk-UA" w:eastAsia="en-US"/>
        </w:rPr>
        <w:br/>
      </w:r>
    </w:p>
    <w:p w:rsidR="00CB410A" w:rsidRDefault="00CB410A" w:rsidP="00CB41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eastAsiaTheme="minorHAnsi"/>
          <w:i/>
          <w:sz w:val="27"/>
          <w:szCs w:val="27"/>
          <w:lang w:val="uk-UA" w:eastAsia="en-US"/>
        </w:rPr>
      </w:pPr>
      <w:bookmarkStart w:id="2" w:name="n3535"/>
      <w:bookmarkStart w:id="3" w:name="n4031"/>
      <w:bookmarkEnd w:id="2"/>
      <w:bookmarkEnd w:id="3"/>
      <w:r w:rsidRPr="00A402FE">
        <w:rPr>
          <w:rFonts w:eastAsiaTheme="minorHAnsi"/>
          <w:b/>
          <w:i/>
          <w:sz w:val="27"/>
          <w:szCs w:val="27"/>
          <w:lang w:val="uk-UA" w:eastAsia="en-US"/>
        </w:rPr>
        <w:t>Зупинка чи стоянка транспортних засобів на місцях</w:t>
      </w:r>
      <w:r w:rsidRPr="00A402FE">
        <w:rPr>
          <w:rFonts w:eastAsiaTheme="minorHAnsi"/>
          <w:i/>
          <w:sz w:val="27"/>
          <w:szCs w:val="27"/>
          <w:lang w:val="uk-UA" w:eastAsia="en-US"/>
        </w:rPr>
        <w:t xml:space="preserve">, що позначені відповідними дорожніми знаками або дорожньою розміткою, на яких дозволено зупинку чи стоянку лише транспортних засобів, якими керують </w:t>
      </w:r>
      <w:r w:rsidRPr="00A402FE">
        <w:rPr>
          <w:rFonts w:eastAsiaTheme="minorHAnsi"/>
          <w:b/>
          <w:i/>
          <w:sz w:val="27"/>
          <w:szCs w:val="27"/>
          <w:lang w:val="uk-UA" w:eastAsia="en-US"/>
        </w:rPr>
        <w:t>водії з інвалідністю</w:t>
      </w:r>
      <w:r w:rsidRPr="00A402FE">
        <w:rPr>
          <w:rFonts w:eastAsiaTheme="minorHAnsi"/>
          <w:i/>
          <w:sz w:val="27"/>
          <w:szCs w:val="27"/>
          <w:lang w:val="uk-UA" w:eastAsia="en-US"/>
        </w:rPr>
        <w:t xml:space="preserve"> або водії, які перевозять осіб з інвалідністю (крім випадків вимушеної стоянки), а так само створення перешкод водіям з інвалідністю або водіям, які перевозять осіб з інвалідністю, у зупинці чи стоянці керованих ними транспортних засобів, неправомірне використання на транспортному засобі розпізнавального знака "Водій з інвалідністю" </w:t>
      </w:r>
      <w:r>
        <w:rPr>
          <w:rFonts w:eastAsiaTheme="minorHAnsi"/>
          <w:i/>
          <w:sz w:val="27"/>
          <w:szCs w:val="27"/>
          <w:lang w:val="uk-UA" w:eastAsia="en-US"/>
        </w:rPr>
        <w:t>–</w:t>
      </w:r>
    </w:p>
    <w:p w:rsidR="00CB410A" w:rsidRPr="00A402FE" w:rsidRDefault="00CB410A" w:rsidP="00CB41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eastAsiaTheme="minorHAnsi"/>
          <w:i/>
          <w:sz w:val="27"/>
          <w:szCs w:val="27"/>
          <w:lang w:val="uk-UA" w:eastAsia="en-US"/>
        </w:rPr>
      </w:pPr>
    </w:p>
    <w:p w:rsidR="00CB410A" w:rsidRPr="00A402FE" w:rsidRDefault="00CB410A" w:rsidP="00CB410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b/>
          <w:i/>
          <w:sz w:val="27"/>
          <w:szCs w:val="27"/>
          <w:lang w:val="uk-UA" w:eastAsia="en-US"/>
        </w:rPr>
      </w:pPr>
      <w:bookmarkStart w:id="4" w:name="n4032"/>
      <w:bookmarkEnd w:id="4"/>
      <w:r w:rsidRPr="00A402FE">
        <w:rPr>
          <w:rFonts w:eastAsiaTheme="minorHAnsi"/>
          <w:b/>
          <w:i/>
          <w:sz w:val="27"/>
          <w:szCs w:val="27"/>
          <w:lang w:val="uk-UA" w:eastAsia="en-US"/>
        </w:rPr>
        <w:t>тягнуть за собою накладення штрафу від шістдесяти до ста неоподатковуваних мінімумів доходів громадян.</w:t>
      </w:r>
    </w:p>
    <w:p w:rsidR="00CB410A" w:rsidRPr="00A402FE" w:rsidRDefault="00CB410A" w:rsidP="00CB41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eastAsiaTheme="minorHAnsi"/>
          <w:i/>
          <w:sz w:val="27"/>
          <w:szCs w:val="27"/>
          <w:lang w:val="uk-UA" w:eastAsia="en-US"/>
        </w:rPr>
      </w:pPr>
    </w:p>
    <w:p w:rsidR="00CB410A" w:rsidRPr="00A402FE" w:rsidRDefault="00CB410A" w:rsidP="00CB41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eastAsiaTheme="minorHAnsi"/>
          <w:i/>
          <w:sz w:val="27"/>
          <w:szCs w:val="27"/>
          <w:lang w:val="uk-UA" w:eastAsia="en-US"/>
        </w:rPr>
      </w:pPr>
      <w:bookmarkStart w:id="5" w:name="n3879"/>
      <w:bookmarkEnd w:id="5"/>
      <w:r w:rsidRPr="00A402FE">
        <w:rPr>
          <w:rFonts w:eastAsiaTheme="minorHAnsi"/>
          <w:i/>
          <w:sz w:val="27"/>
          <w:szCs w:val="27"/>
          <w:lang w:val="uk-UA" w:eastAsia="en-US"/>
        </w:rPr>
        <w:t>Примітка. Суб’єктом правопорушення в цій статті є особа, яка керувала транспортним засобом у момент його вчинення, а в разі вчинення передбачених частинами першою - третьою цієї статті правопорушень у виді перевищення обмежень швидкості руху транспортних засобів, проїзду на заборонний сигнал регулювання дорожнього руху, порушення правил зупинки і стоянки, а також установленої для транспортних засобів заборони рухатися смугою для маршрутних транспортних засобів, тротуарами чи пішохідними доріжками, виїзду на смугу зустрічного руху, якщо зазначене правопорушення зафіксовано в автоматичному режимі, - юридична або фізична особа, за якою зареєстровано транспортний засіб.</w:t>
      </w:r>
    </w:p>
    <w:p w:rsidR="00CB410A" w:rsidRPr="00A402FE" w:rsidRDefault="00CB410A" w:rsidP="00CB410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eastAsiaTheme="minorHAnsi"/>
          <w:i/>
          <w:sz w:val="27"/>
          <w:szCs w:val="27"/>
          <w:lang w:val="uk-UA" w:eastAsia="en-US"/>
        </w:rPr>
      </w:pPr>
      <w:bookmarkStart w:id="6" w:name="n996"/>
      <w:bookmarkEnd w:id="6"/>
      <w:r w:rsidRPr="00A402FE">
        <w:rPr>
          <w:rFonts w:eastAsiaTheme="minorHAnsi"/>
          <w:i/>
          <w:sz w:val="27"/>
          <w:szCs w:val="27"/>
          <w:lang w:val="uk-UA" w:eastAsia="en-US"/>
        </w:rPr>
        <w:t>{Стаття 122 із змінами, внесеними згідно з Указами ПВР </w:t>
      </w:r>
      <w:hyperlink r:id="rId5" w:tgtFrame="_blank" w:history="1">
        <w:r w:rsidRPr="00A402FE">
          <w:rPr>
            <w:rFonts w:eastAsiaTheme="minorHAnsi"/>
            <w:i/>
            <w:sz w:val="27"/>
            <w:szCs w:val="27"/>
            <w:lang w:val="uk-UA" w:eastAsia="en-US"/>
          </w:rPr>
          <w:t>№ 7542-11 від 19.05.89</w:t>
        </w:r>
      </w:hyperlink>
      <w:r w:rsidRPr="00A402FE">
        <w:rPr>
          <w:rFonts w:eastAsiaTheme="minorHAnsi"/>
          <w:i/>
          <w:sz w:val="27"/>
          <w:szCs w:val="27"/>
          <w:lang w:val="uk-UA" w:eastAsia="en-US"/>
        </w:rPr>
        <w:t>, </w:t>
      </w:r>
      <w:hyperlink r:id="rId6" w:tgtFrame="_blank" w:history="1">
        <w:r w:rsidRPr="00A402FE">
          <w:rPr>
            <w:rFonts w:eastAsiaTheme="minorHAnsi"/>
            <w:i/>
            <w:sz w:val="27"/>
            <w:szCs w:val="27"/>
            <w:lang w:val="uk-UA" w:eastAsia="en-US"/>
          </w:rPr>
          <w:t>№ 1369-12 від 29.07.91</w:t>
        </w:r>
      </w:hyperlink>
      <w:r w:rsidRPr="00A402FE">
        <w:rPr>
          <w:rFonts w:eastAsiaTheme="minorHAnsi"/>
          <w:i/>
          <w:sz w:val="27"/>
          <w:szCs w:val="27"/>
          <w:lang w:val="uk-UA" w:eastAsia="en-US"/>
        </w:rPr>
        <w:t>, </w:t>
      </w:r>
      <w:hyperlink r:id="rId7" w:tgtFrame="_blank" w:history="1">
        <w:r w:rsidRPr="00A402FE">
          <w:rPr>
            <w:rFonts w:eastAsiaTheme="minorHAnsi"/>
            <w:i/>
            <w:sz w:val="27"/>
            <w:szCs w:val="27"/>
            <w:lang w:val="uk-UA" w:eastAsia="en-US"/>
          </w:rPr>
          <w:t>№ 1818-12 від 15.11.91</w:t>
        </w:r>
      </w:hyperlink>
      <w:r w:rsidRPr="00A402FE">
        <w:rPr>
          <w:rFonts w:eastAsiaTheme="minorHAnsi"/>
          <w:i/>
          <w:sz w:val="27"/>
          <w:szCs w:val="27"/>
          <w:lang w:val="uk-UA" w:eastAsia="en-US"/>
        </w:rPr>
        <w:t>; Законами </w:t>
      </w:r>
      <w:hyperlink r:id="rId8" w:tgtFrame="_blank" w:history="1">
        <w:r w:rsidRPr="00A402FE">
          <w:rPr>
            <w:rFonts w:eastAsiaTheme="minorHAnsi"/>
            <w:i/>
            <w:sz w:val="27"/>
            <w:szCs w:val="27"/>
            <w:lang w:val="uk-UA" w:eastAsia="en-US"/>
          </w:rPr>
          <w:t>№ 3785-12 від 23.12.93</w:t>
        </w:r>
      </w:hyperlink>
      <w:r w:rsidRPr="00A402FE">
        <w:rPr>
          <w:rFonts w:eastAsiaTheme="minorHAnsi"/>
          <w:i/>
          <w:sz w:val="27"/>
          <w:szCs w:val="27"/>
          <w:lang w:val="uk-UA" w:eastAsia="en-US"/>
        </w:rPr>
        <w:t>, </w:t>
      </w:r>
      <w:hyperlink r:id="rId9" w:tgtFrame="_blank" w:history="1">
        <w:r w:rsidRPr="00A402FE">
          <w:rPr>
            <w:rFonts w:eastAsiaTheme="minorHAnsi"/>
            <w:i/>
            <w:sz w:val="27"/>
            <w:szCs w:val="27"/>
            <w:lang w:val="uk-UA" w:eastAsia="en-US"/>
          </w:rPr>
          <w:t>№ 55/97-ВР від 07.02.97</w:t>
        </w:r>
      </w:hyperlink>
      <w:r w:rsidRPr="00A402FE">
        <w:rPr>
          <w:rFonts w:eastAsiaTheme="minorHAnsi"/>
          <w:i/>
          <w:sz w:val="27"/>
          <w:szCs w:val="27"/>
          <w:lang w:val="uk-UA" w:eastAsia="en-US"/>
        </w:rPr>
        <w:t>, </w:t>
      </w:r>
      <w:hyperlink r:id="rId10" w:tgtFrame="_blank" w:history="1">
        <w:r w:rsidRPr="00A402FE">
          <w:rPr>
            <w:rFonts w:eastAsiaTheme="minorHAnsi"/>
            <w:i/>
            <w:sz w:val="27"/>
            <w:szCs w:val="27"/>
            <w:lang w:val="uk-UA" w:eastAsia="en-US"/>
          </w:rPr>
          <w:t>№ 2350-III від 05.04.2001</w:t>
        </w:r>
      </w:hyperlink>
      <w:r w:rsidRPr="00A402FE">
        <w:rPr>
          <w:rFonts w:eastAsiaTheme="minorHAnsi"/>
          <w:i/>
          <w:sz w:val="27"/>
          <w:szCs w:val="27"/>
          <w:lang w:val="uk-UA" w:eastAsia="en-US"/>
        </w:rPr>
        <w:t>; в редакції Закону </w:t>
      </w:r>
      <w:hyperlink r:id="rId11" w:tgtFrame="_blank" w:history="1">
        <w:r w:rsidRPr="00A402FE">
          <w:rPr>
            <w:rFonts w:eastAsiaTheme="minorHAnsi"/>
            <w:i/>
            <w:sz w:val="27"/>
            <w:szCs w:val="27"/>
            <w:lang w:val="uk-UA" w:eastAsia="en-US"/>
          </w:rPr>
          <w:t>№ 586-VI від 24.09.2008</w:t>
        </w:r>
      </w:hyperlink>
      <w:r w:rsidRPr="00A402FE">
        <w:rPr>
          <w:rFonts w:eastAsiaTheme="minorHAnsi"/>
          <w:i/>
          <w:sz w:val="27"/>
          <w:szCs w:val="27"/>
          <w:lang w:val="uk-UA" w:eastAsia="en-US"/>
        </w:rPr>
        <w:t>; із змінами, внесеними згідно із Законами </w:t>
      </w:r>
      <w:hyperlink r:id="rId12" w:tgtFrame="_blank" w:history="1">
        <w:r w:rsidRPr="00A402FE">
          <w:rPr>
            <w:rFonts w:eastAsiaTheme="minorHAnsi"/>
            <w:i/>
            <w:sz w:val="27"/>
            <w:szCs w:val="27"/>
            <w:lang w:val="uk-UA" w:eastAsia="en-US"/>
          </w:rPr>
          <w:t>№ 3163-VI від 17.03.2011</w:t>
        </w:r>
      </w:hyperlink>
      <w:r w:rsidRPr="00A402FE">
        <w:rPr>
          <w:rFonts w:eastAsiaTheme="minorHAnsi"/>
          <w:i/>
          <w:sz w:val="27"/>
          <w:szCs w:val="27"/>
          <w:lang w:val="uk-UA" w:eastAsia="en-US"/>
        </w:rPr>
        <w:t>, </w:t>
      </w:r>
      <w:hyperlink r:id="rId13" w:anchor="n5" w:tgtFrame="_blank" w:history="1">
        <w:r w:rsidRPr="00A402FE">
          <w:rPr>
            <w:rFonts w:eastAsiaTheme="minorHAnsi"/>
            <w:i/>
            <w:sz w:val="27"/>
            <w:szCs w:val="27"/>
            <w:lang w:val="uk-UA" w:eastAsia="en-US"/>
          </w:rPr>
          <w:t>№ 4438-VI від 23.02.2012</w:t>
        </w:r>
      </w:hyperlink>
      <w:r w:rsidRPr="00A402FE">
        <w:rPr>
          <w:rFonts w:eastAsiaTheme="minorHAnsi"/>
          <w:i/>
          <w:sz w:val="27"/>
          <w:szCs w:val="27"/>
          <w:lang w:val="uk-UA" w:eastAsia="en-US"/>
        </w:rPr>
        <w:t>, </w:t>
      </w:r>
      <w:hyperlink r:id="rId14" w:anchor="n7" w:tgtFrame="_blank" w:history="1">
        <w:r w:rsidRPr="00A402FE">
          <w:rPr>
            <w:rFonts w:eastAsiaTheme="minorHAnsi"/>
            <w:i/>
            <w:sz w:val="27"/>
            <w:szCs w:val="27"/>
            <w:lang w:val="uk-UA" w:eastAsia="en-US"/>
          </w:rPr>
          <w:t>№ 721-VII від 16.01.2014</w:t>
        </w:r>
      </w:hyperlink>
      <w:r w:rsidRPr="00A402FE">
        <w:rPr>
          <w:rFonts w:eastAsiaTheme="minorHAnsi"/>
          <w:i/>
          <w:sz w:val="27"/>
          <w:szCs w:val="27"/>
          <w:lang w:val="uk-UA" w:eastAsia="en-US"/>
        </w:rPr>
        <w:t> - втратив чинність на підставі Закону </w:t>
      </w:r>
      <w:hyperlink r:id="rId15" w:anchor="n6" w:tgtFrame="_blank" w:history="1">
        <w:r w:rsidRPr="00A402FE">
          <w:rPr>
            <w:rFonts w:eastAsiaTheme="minorHAnsi"/>
            <w:i/>
            <w:sz w:val="27"/>
            <w:szCs w:val="27"/>
            <w:lang w:val="uk-UA" w:eastAsia="en-US"/>
          </w:rPr>
          <w:t>№ 732-VII від 28.01.2014</w:t>
        </w:r>
      </w:hyperlink>
      <w:r w:rsidRPr="00A402FE">
        <w:rPr>
          <w:rFonts w:eastAsiaTheme="minorHAnsi"/>
          <w:i/>
          <w:sz w:val="27"/>
          <w:szCs w:val="27"/>
          <w:lang w:val="uk-UA" w:eastAsia="en-US"/>
        </w:rPr>
        <w:t xml:space="preserve">; в редакції </w:t>
      </w:r>
      <w:r w:rsidRPr="00A402FE">
        <w:rPr>
          <w:rFonts w:eastAsiaTheme="minorHAnsi"/>
          <w:i/>
          <w:sz w:val="27"/>
          <w:szCs w:val="27"/>
          <w:lang w:val="uk-UA" w:eastAsia="en-US"/>
        </w:rPr>
        <w:lastRenderedPageBreak/>
        <w:t>Закону </w:t>
      </w:r>
      <w:hyperlink r:id="rId16" w:anchor="n7" w:tgtFrame="_blank" w:history="1">
        <w:r w:rsidRPr="00A402FE">
          <w:rPr>
            <w:rFonts w:eastAsiaTheme="minorHAnsi"/>
            <w:i/>
            <w:sz w:val="27"/>
            <w:szCs w:val="27"/>
            <w:lang w:val="uk-UA" w:eastAsia="en-US"/>
          </w:rPr>
          <w:t>№ 767-VII від 23.02.2014</w:t>
        </w:r>
      </w:hyperlink>
      <w:r w:rsidRPr="00A402FE">
        <w:rPr>
          <w:rFonts w:eastAsiaTheme="minorHAnsi"/>
          <w:i/>
          <w:sz w:val="27"/>
          <w:szCs w:val="27"/>
          <w:lang w:val="uk-UA" w:eastAsia="en-US"/>
        </w:rPr>
        <w:t>; із змінами, внесеними згідно із Законами </w:t>
      </w:r>
      <w:hyperlink r:id="rId17" w:anchor="n44" w:tgtFrame="_blank" w:history="1">
        <w:r w:rsidRPr="00A402FE">
          <w:rPr>
            <w:rFonts w:eastAsiaTheme="minorHAnsi"/>
            <w:i/>
            <w:sz w:val="27"/>
            <w:szCs w:val="27"/>
            <w:lang w:val="uk-UA" w:eastAsia="en-US"/>
          </w:rPr>
          <w:t>№ 596-VIII від 14.07.2015</w:t>
        </w:r>
      </w:hyperlink>
      <w:r w:rsidRPr="00A402FE">
        <w:rPr>
          <w:rFonts w:eastAsiaTheme="minorHAnsi"/>
          <w:i/>
          <w:sz w:val="27"/>
          <w:szCs w:val="27"/>
          <w:lang w:val="uk-UA" w:eastAsia="en-US"/>
        </w:rPr>
        <w:t>, </w:t>
      </w:r>
      <w:hyperlink r:id="rId18" w:anchor="n7" w:tgtFrame="_blank" w:history="1">
        <w:r w:rsidRPr="00A402FE">
          <w:rPr>
            <w:rFonts w:eastAsiaTheme="minorHAnsi"/>
            <w:i/>
            <w:sz w:val="27"/>
            <w:szCs w:val="27"/>
            <w:lang w:val="uk-UA" w:eastAsia="en-US"/>
          </w:rPr>
          <w:t>№ 2109-VIII від 22.06.2017</w:t>
        </w:r>
      </w:hyperlink>
      <w:r w:rsidRPr="00A402FE">
        <w:rPr>
          <w:rFonts w:eastAsiaTheme="minorHAnsi"/>
          <w:i/>
          <w:sz w:val="27"/>
          <w:szCs w:val="27"/>
          <w:lang w:val="uk-UA" w:eastAsia="en-US"/>
        </w:rPr>
        <w:t>}</w:t>
      </w:r>
    </w:p>
    <w:p w:rsidR="00CB410A" w:rsidRDefault="00CB410A" w:rsidP="00CB410A">
      <w:pPr>
        <w:spacing w:after="0" w:line="240" w:lineRule="atLeast"/>
        <w:ind w:firstLine="45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F90E4C" w:rsidRPr="00CB410A" w:rsidRDefault="00F90E4C">
      <w:pPr>
        <w:rPr>
          <w:lang w:val="uk-UA"/>
        </w:rPr>
      </w:pPr>
      <w:bookmarkStart w:id="7" w:name="_GoBack"/>
      <w:bookmarkEnd w:id="7"/>
    </w:p>
    <w:sectPr w:rsidR="00F90E4C" w:rsidRPr="00CB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0A"/>
    <w:rsid w:val="00CB410A"/>
    <w:rsid w:val="00F9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B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CB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B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CB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3785-12" TargetMode="External"/><Relationship Id="rId13" Type="http://schemas.openxmlformats.org/officeDocument/2006/relationships/hyperlink" Target="http://zakon3.rada.gov.ua/laws/show/4438-17/paran5" TargetMode="External"/><Relationship Id="rId18" Type="http://schemas.openxmlformats.org/officeDocument/2006/relationships/hyperlink" Target="http://zakon3.rada.gov.ua/laws/show/2109-19/paran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818-12" TargetMode="External"/><Relationship Id="rId12" Type="http://schemas.openxmlformats.org/officeDocument/2006/relationships/hyperlink" Target="http://zakon3.rada.gov.ua/laws/show/3163-17" TargetMode="External"/><Relationship Id="rId17" Type="http://schemas.openxmlformats.org/officeDocument/2006/relationships/hyperlink" Target="http://zakon3.rada.gov.ua/laws/show/596-19/paran4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3.rada.gov.ua/laws/show/767-18/paran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369-12" TargetMode="External"/><Relationship Id="rId11" Type="http://schemas.openxmlformats.org/officeDocument/2006/relationships/hyperlink" Target="http://zakon3.rada.gov.ua/laws/show/586-17" TargetMode="External"/><Relationship Id="rId5" Type="http://schemas.openxmlformats.org/officeDocument/2006/relationships/hyperlink" Target="http://zakon3.rada.gov.ua/laws/show/7542-11" TargetMode="External"/><Relationship Id="rId15" Type="http://schemas.openxmlformats.org/officeDocument/2006/relationships/hyperlink" Target="http://zakon3.rada.gov.ua/laws/show/732-18/paran6" TargetMode="External"/><Relationship Id="rId10" Type="http://schemas.openxmlformats.org/officeDocument/2006/relationships/hyperlink" Target="http://zakon3.rada.gov.ua/laws/show/2350-1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55/97-%D0%B2%D1%80" TargetMode="External"/><Relationship Id="rId14" Type="http://schemas.openxmlformats.org/officeDocument/2006/relationships/hyperlink" Target="http://zakon3.rada.gov.ua/laws/show/721-18/paran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2018-03-19T17:03:00Z</dcterms:created>
  <dcterms:modified xsi:type="dcterms:W3CDTF">2018-03-19T17:03:00Z</dcterms:modified>
</cp:coreProperties>
</file>