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12"/>
          <w:szCs w:val="12"/>
        </w:rPr>
      </w:pPr>
      <w:r w:rsidDel="00000000" w:rsidR="00000000" w:rsidRPr="00000000">
        <w:rPr>
          <w:sz w:val="28"/>
          <w:szCs w:val="28"/>
        </w:rPr>
        <w:drawing>
          <wp:inline distB="0" distT="0" distL="114300" distR="114300">
            <wp:extent cx="502920" cy="6934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93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АПАРАТ</w:t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ВИКОНАВЧОГО ОРГАНУ КИЇВСЬКОЇ МІСЬКОЇ РАДИ</w:t>
      </w:r>
    </w:p>
    <w:p w:rsidR="00000000" w:rsidDel="00000000" w:rsidP="00000000" w:rsidRDefault="00000000" w:rsidRPr="00000000" w14:paraId="00000005">
      <w:pPr>
        <w:jc w:val="center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rtl w:val="0"/>
        </w:rPr>
        <w:t xml:space="preserve">(КИЇВСЬКОЇ МІСЬКОЇ ДЕРЖАВНОЇ АДМІНІСТРАЦІЇ)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mallCap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УПРАВЛІННЯ ІНФОРМАЦІЙНОЇ ПОЛІТИКИ ТА ДОСТУПУ 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ДО ПУБЛІЧНОЇ ІНФОРМАЦІЇ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mallCap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вул. Хрещатик, 36, м. Київ, 01044, тел. (044) 202 74 61, (044) 202 76 42, Код ЄДРПОУ 37853361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i w:val="1"/>
          <w:iCs w:val="1"/>
          <w:color w:val="0000ff"/>
          <w:sz w:val="20"/>
          <w:szCs w:val="20"/>
          <w:u w:val="singl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Е-пошта </w:t>
      </w:r>
      <w:hyperlink r:id="rId8">
        <w:r w:rsidDel="00000000" w:rsidR="00000000" w:rsidRPr="00000000">
          <w:rPr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uizdpi@kyivcity.gov.ua</w:t>
        </w:r>
      </w:hyperlink>
      <w:r w:rsidDel="00000000" w:rsidR="00000000" w:rsidRPr="00000000">
        <w:rPr>
          <w:i w:val="1"/>
          <w:iCs w:val="1"/>
          <w:color w:val="0000ff"/>
          <w:sz w:val="20"/>
          <w:szCs w:val="20"/>
          <w:u w:val="none"/>
          <w:rtl w:val="0"/>
        </w:rPr>
        <w:t xml:space="preserve">, Е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-пошта для запитів на публічну інформацію: </w:t>
      </w:r>
      <w:hyperlink r:id="rId9">
        <w:r w:rsidDel="00000000" w:rsidR="00000000" w:rsidRPr="00000000">
          <w:rPr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zapyt@kma.gov.ua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b w:val="1"/>
          <w:bCs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14.04.2026 р. </w:t>
        <w:tab/>
        <w:tab/>
        <w:tab/>
        <w:tab/>
        <w:tab/>
        <w:tab/>
        <w:tab/>
        <w:tab/>
        <w:tab/>
        <w:t xml:space="preserve">До уваги медіа!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15 квітня частково обмежуватимуть рух транспорту Набережним шосе та Дніпровським проїздом у Печерському районі (+схема) 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середу, 15 квітня, з 8:00 до 20:00 частково обмежуватимуть рух транспорту Набережним шосе та Дніпровським проїздом у Печерському районі столиці. Про це повідомляють у КК «Київавтодор».  </w:t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Зокрема, працівники ШЕУ Печерського району  ремонтуватимуть дорожнє огородження: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Набережному шосе – на ділянці від мосту Метро до Паркового моста;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Дніпровському проїзді – на ділянці від Набережного шосе до Дніпровського узвозу. </w:t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Під час ремонту рух транспорту частково обмежуватимуть однією смугою. </w:t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Роботи виконуватимуть за сприятливих погодних умов.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комунальній корпорації перепрошують за тимчасові незручності та просять враховувати обмеження під час планування маршруту.</w:t>
      </w:r>
    </w:p>
    <w:sectPr>
      <w:pgSz w:h="16838" w:w="11906" w:orient="portrait"/>
      <w:pgMar w:bottom="851" w:top="1079" w:left="900" w:right="746" w:header="720" w:footer="4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20" w:hanging="720"/>
    </w:pPr>
    <w:rPr>
      <w:rFonts w:ascii="Trebuchet MS" w:cs="Trebuchet MS" w:eastAsia="Trebuchet MS" w:hAnsi="Trebuchet MS"/>
      <w:b w:val="1"/>
      <w:bCs w:val="1"/>
      <w:color w:val="336699"/>
      <w:sz w:val="38"/>
      <w:szCs w:val="3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40"/>
      <w:szCs w:val="4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zapyt@kma.gov.u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izdpi@kievcity.gov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/CWw4lM4KNTtUc2bPPW3yi753g==">CgMxLjAyCGguZ2pkZ3hzOAByITF6bWRJbV9KTE5uZUtkZFp2WloxX2xoMlM1V3JoTEgwcQ==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