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3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976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Голова</w:t>
            </w:r>
            <w:r w:rsidRPr="00D93580">
              <w:rPr>
                <w:rFonts w:ascii="Times New Roman" w:hAnsi="Times New Roman" w:cs="Times New Roman"/>
                <w:b/>
                <w:color w:val="auto"/>
              </w:rPr>
              <w:t xml:space="preserve">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 w:rsidR="00CC60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ОЛЕНИЧ П.С.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2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741"/>
        <w:gridCol w:w="4172"/>
      </w:tblGrid>
      <w:tr w:rsidR="00CC60C0" w:rsidRPr="00D93580" w:rsidTr="00CC60C0">
        <w:trPr>
          <w:trHeight w:val="990"/>
        </w:trPr>
        <w:tc>
          <w:tcPr>
            <w:tcW w:w="2494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Секретар</w:t>
            </w:r>
            <w:r w:rsidRPr="00D93580">
              <w:rPr>
                <w:rFonts w:ascii="Times New Roman" w:hAnsi="Times New Roman" w:cs="Times New Roman"/>
                <w:b/>
                <w:color w:val="auto"/>
              </w:rPr>
              <w:t xml:space="preserve">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741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ГАРШИНА Г.А.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5851AE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БАЛИЦЬКА О.С.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БОНДАРЧУК О.В.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BC45FC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5851AE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ГАЛАСЬ О.І.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КАРТАВИЙ І.Л.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КІСІЛЬОВ І.П.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КРИВОРУЧКО Т.Г.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КОВАЛЬОВ Р.М.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МАНОЙЛЕНКО Н.В.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МІЩЕНКО О.Г.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СИТНІЧЕНКО Є.В.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77"/>
        <w:gridCol w:w="843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0D54D1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ДОЛИНСЬКИЙ Ігор Миколайович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2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3562"/>
        <w:gridCol w:w="4232"/>
      </w:tblGrid>
      <w:tr w:rsidR="00BC45FC" w:rsidRPr="00D93580" w:rsidTr="0085710F">
        <w:trPr>
          <w:trHeight w:val="813"/>
        </w:trPr>
        <w:tc>
          <w:tcPr>
            <w:tcW w:w="2531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62" w:type="dxa"/>
            <w:hideMark/>
          </w:tcPr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  <w:p w:rsidR="00BC45FC" w:rsidRPr="00D93580" w:rsidRDefault="0085710F" w:rsidP="0085710F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232" w:type="dxa"/>
            <w:hideMark/>
          </w:tcPr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СТРАННІКОВ А.М.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  <w:p w:rsidR="0085710F" w:rsidRDefault="0085710F" w:rsidP="0085710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45FC" w:rsidRPr="0085710F" w:rsidRDefault="0085710F" w:rsidP="0085710F">
            <w:pPr>
              <w:tabs>
                <w:tab w:val="left" w:pos="3268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</w:tbl>
    <w:p w:rsidR="00CC60C0" w:rsidRPr="0085710F" w:rsidRDefault="00CC60C0" w:rsidP="0085710F"/>
    <w:sectPr w:rsidR="00CC60C0" w:rsidRPr="0085710F" w:rsidSect="00CC60C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C6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0DB78AE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0E449C4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2174CBE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4" w15:restartNumberingAfterBreak="0">
    <w:nsid w:val="127B2F7B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34F69AA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6" w15:restartNumberingAfterBreak="0">
    <w:nsid w:val="189C583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B4025C7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8" w15:restartNumberingAfterBreak="0">
    <w:nsid w:val="1D435568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42C6166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73855C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29CF33FF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2" w15:restartNumberingAfterBreak="0">
    <w:nsid w:val="2F6A26D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42E196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4DF021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6AF1F54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8E6026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A434B94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8" w15:restartNumberingAfterBreak="0">
    <w:nsid w:val="3B777B60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F637857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9D3642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A584EE9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D38210F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3" w15:restartNumberingAfterBreak="0">
    <w:nsid w:val="52C35072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4" w15:restartNumberingAfterBreak="0">
    <w:nsid w:val="58493255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5" w15:restartNumberingAfterBreak="0">
    <w:nsid w:val="603C3B1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6" w15:restartNumberingAfterBreak="0">
    <w:nsid w:val="60C36A7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112458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8" w15:restartNumberingAfterBreak="0">
    <w:nsid w:val="63207EB0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5540BC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8EC01A7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1" w15:restartNumberingAfterBreak="0">
    <w:nsid w:val="699411BB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C55438A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D1810AD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EB7439B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5" w15:restartNumberingAfterBreak="0">
    <w:nsid w:val="7A2E080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A9C75F7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D725DD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31"/>
  </w:num>
  <w:num w:numId="6">
    <w:abstractNumId w:val="28"/>
  </w:num>
  <w:num w:numId="7">
    <w:abstractNumId w:val="2"/>
  </w:num>
  <w:num w:numId="8">
    <w:abstractNumId w:val="12"/>
  </w:num>
  <w:num w:numId="9">
    <w:abstractNumId w:val="35"/>
  </w:num>
  <w:num w:numId="10">
    <w:abstractNumId w:val="16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26"/>
  </w:num>
  <w:num w:numId="16">
    <w:abstractNumId w:val="29"/>
  </w:num>
  <w:num w:numId="17">
    <w:abstractNumId w:val="13"/>
  </w:num>
  <w:num w:numId="18">
    <w:abstractNumId w:val="33"/>
  </w:num>
  <w:num w:numId="19">
    <w:abstractNumId w:val="32"/>
  </w:num>
  <w:num w:numId="20">
    <w:abstractNumId w:val="14"/>
  </w:num>
  <w:num w:numId="21">
    <w:abstractNumId w:val="1"/>
  </w:num>
  <w:num w:numId="22">
    <w:abstractNumId w:val="0"/>
  </w:num>
  <w:num w:numId="23">
    <w:abstractNumId w:val="21"/>
  </w:num>
  <w:num w:numId="24">
    <w:abstractNumId w:val="36"/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7"/>
  </w:num>
  <w:num w:numId="30">
    <w:abstractNumId w:val="34"/>
  </w:num>
  <w:num w:numId="31">
    <w:abstractNumId w:val="23"/>
  </w:num>
  <w:num w:numId="32">
    <w:abstractNumId w:val="25"/>
  </w:num>
  <w:num w:numId="33">
    <w:abstractNumId w:val="17"/>
  </w:num>
  <w:num w:numId="34">
    <w:abstractNumId w:val="10"/>
  </w:num>
  <w:num w:numId="35">
    <w:abstractNumId w:val="11"/>
  </w:num>
  <w:num w:numId="36">
    <w:abstractNumId w:val="3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0D54D1"/>
    <w:rsid w:val="00156C64"/>
    <w:rsid w:val="0028272F"/>
    <w:rsid w:val="005851AE"/>
    <w:rsid w:val="0085710F"/>
    <w:rsid w:val="009F0D19"/>
    <w:rsid w:val="00A32773"/>
    <w:rsid w:val="00BC45FC"/>
    <w:rsid w:val="00C93311"/>
    <w:rsid w:val="00CC60C0"/>
    <w:rsid w:val="00D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14CD-3EA1-44EC-AC2E-896298A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93580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710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710F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2021-A6B8-4272-882E-94A3396D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7711</Words>
  <Characters>43953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Дереженко Катерина Іванівна</dc:creator>
  <cp:keywords/>
  <dc:description/>
  <cp:lastModifiedBy>Дереженко Катерина Іванівна</cp:lastModifiedBy>
  <cp:revision>5</cp:revision>
  <cp:lastPrinted>2019-03-22T10:15:00Z</cp:lastPrinted>
  <dcterms:created xsi:type="dcterms:W3CDTF">2019-03-19T15:37:00Z</dcterms:created>
  <dcterms:modified xsi:type="dcterms:W3CDTF">2019-03-22T11:48:00Z</dcterms:modified>
</cp:coreProperties>
</file>