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A" w:rsidRDefault="002E0FBA" w:rsidP="002E0FBA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E0FBA" w:rsidRDefault="002E0FBA" w:rsidP="002E0FBA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2E0FBA" w:rsidRDefault="002E0FBA" w:rsidP="002E0FBA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2E0FBA" w:rsidRDefault="002E0FBA" w:rsidP="002E0FBA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2E0FBA" w:rsidRDefault="002E0FBA" w:rsidP="002E0FBA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2E0FBA" w:rsidRDefault="002E0FBA" w:rsidP="002E0FBA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2E0FBA" w:rsidRDefault="002E0FBA" w:rsidP="002E0FBA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3B0FA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03 лютого 2020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3B0FA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bookmarkEnd w:id="0"/>
    <w:p w:rsidR="002E0FBA" w:rsidRDefault="002E0FBA" w:rsidP="002E0FB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2E0FBA" w:rsidRDefault="002E0FBA" w:rsidP="002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FBA" w:rsidRDefault="002E0FBA" w:rsidP="002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2E0FBA" w:rsidRDefault="002E0FBA" w:rsidP="002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</w:t>
      </w:r>
      <w:r w:rsidRPr="002E0FBA">
        <w:rPr>
          <w:rFonts w:ascii="Times New Roman" w:hAnsi="Times New Roman" w:cs="Times New Roman"/>
          <w:sz w:val="28"/>
          <w:szCs w:val="28"/>
          <w:lang w:val="uk-UA"/>
        </w:rPr>
        <w:t xml:space="preserve">посади головного спеціаліста відділу контрольно-аналітичного забезпечення заступників керівника апарату виконавчого органу Київської міської ради (Київської міської державної адміністрації)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 апарату виконавчого органу Київської міської ради (Київської міської державної адміністрації) (категорія </w:t>
      </w:r>
      <w:r w:rsidR="004B72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0FBA">
        <w:rPr>
          <w:rFonts w:ascii="Times New Roman" w:hAnsi="Times New Roman" w:cs="Times New Roman"/>
          <w:sz w:val="28"/>
          <w:szCs w:val="28"/>
          <w:lang w:val="uk-UA"/>
        </w:rPr>
        <w:t>В»)</w:t>
      </w:r>
    </w:p>
    <w:p w:rsidR="0003499B" w:rsidRPr="002E0FBA" w:rsidRDefault="0003499B" w:rsidP="002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FBA" w:rsidRDefault="002E0FBA" w:rsidP="002E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2E0FBA" w:rsidTr="002E0FBA">
        <w:tc>
          <w:tcPr>
            <w:tcW w:w="9889" w:type="dxa"/>
            <w:gridSpan w:val="4"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2E0FBA" w:rsidRDefault="002E0FBA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2E0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контрольно-аналітичного забезпечення заступників керівника апарату виконавчого органу Київської міської ради (Київської міської державної адміністрації)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E0FBA" w:rsidRDefault="002E0FBA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</w:t>
            </w:r>
            <w:r w:rsidR="00344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звернень (пропозицій, скарг), які надходять до </w:t>
            </w:r>
            <w:r w:rsidR="00527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</w:t>
            </w:r>
            <w:r w:rsidR="00344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бюджетної установи «Контактний центр міста Києва» з питань, віднесених до компетенції апарату виконавчого органу Київської міської ради (Київської міської державної адміністрації) реєструє, готує до них </w:t>
            </w:r>
            <w:proofErr w:type="spellStart"/>
            <w:r w:rsidR="0034456E"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  <w:r w:rsidR="00344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доручень та передає на розгляд заступникам керівника апарату виконавчого органу Київської міської ради (Київської міської державної адміністрації), вносить резолюції та передає в установленому порядку відповідним  структурним підрозділам апарату виконавчого органу Київської міської ради (Київської міської державної адміністрації) для виконання з дорученнями, готує документи та пропозиції щодо розгляду по суті порушених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4456E" w:rsidRDefault="0034456E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контролює строки та якість опрацювання звернень, які надходять до комунальної бюджетної установи «Контактний центр Києва», що розглядаються заступниками керівника апарату виконавчого органу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Київської міської ради (Київської міської державної адміністра</w:t>
            </w:r>
            <w:r w:rsidR="00A10BE6">
              <w:rPr>
                <w:rFonts w:ascii="Times New Roman" w:hAnsi="Times New Roman"/>
                <w:sz w:val="28"/>
                <w:szCs w:val="28"/>
                <w:lang w:val="uk-UA"/>
              </w:rPr>
              <w:t>ції);</w:t>
            </w:r>
          </w:p>
          <w:p w:rsidR="00A10BE6" w:rsidRDefault="00A10BE6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проводить аналіз опрацюва</w:t>
            </w:r>
            <w:r w:rsidR="006B6D81">
              <w:rPr>
                <w:rFonts w:ascii="Times New Roman" w:hAnsi="Times New Roman"/>
                <w:sz w:val="28"/>
                <w:szCs w:val="28"/>
                <w:lang w:val="uk-UA"/>
              </w:rPr>
              <w:t>ння звернень, які надходять до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омунальної бюджетної установи «Контактний центр міста Києва» структурними підрозділами апарату виконавчого органу Київської міської ради (Київської міської державної адміністрації);</w:t>
            </w:r>
          </w:p>
          <w:p w:rsidR="00A10BE6" w:rsidRPr="0034456E" w:rsidRDefault="00A10BE6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забезпечує дотримання державної політики у сфері архівної справи, а саме облік, зберігання, використання та підготовку документів постійного терміну зберігання (нормативно-правових актів) для передачі до відповідного структурного підрозділу апарату виконавчого органу Київської міської ради (Київської міської державної адміністрації) в установленому порядку;</w:t>
            </w:r>
          </w:p>
          <w:p w:rsidR="0034456E" w:rsidRDefault="0034456E" w:rsidP="002E0FBA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забезпечує якісне та своєчасне виконання доручень заступників керівника апарату виконавчого органу Київської міської ради (Київської міської державної адміністрації);</w:t>
            </w:r>
          </w:p>
          <w:p w:rsidR="002E0FBA" w:rsidRDefault="002E0FBA" w:rsidP="002E0FBA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надає методичну та практичну допомогу іншим структурним підрозділам апарату виконавчого органу Київської міської ради (Київської міської державної адміністрації) з питань віднесених </w:t>
            </w:r>
            <w:r w:rsidR="003445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компетенції відділу;</w:t>
            </w:r>
          </w:p>
          <w:p w:rsidR="002E0FBA" w:rsidRDefault="002E0FBA" w:rsidP="002E0FBA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забезпечує вирішення організаційних питань щодо участі заступників керівника апарату виконавчого органу Київської міської ради (Київської міської державної адміністрації) у заходах, які проводяться іншими органами виконавчої влади, органами місцевого самоврядування. Забезпечує організацію робочих поїздок, оформлює протокольні доручення;</w:t>
            </w:r>
          </w:p>
          <w:p w:rsidR="002E0FBA" w:rsidRDefault="002E0FBA" w:rsidP="002E0FBA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5A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взаємодіє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E15A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структурними підрозділами апарату</w:t>
            </w:r>
            <w:r w:rsidRPr="002E0F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E15A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адміністрації),</w:t>
            </w:r>
            <w:r w:rsidRPr="002E0F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15A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структурними підрозділами виконавчого органу Київської міської ради (Київської міської державної адміністрації), районними в місті Києві державними адміністраціями,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постійними комісіями Київської міської ради, </w:t>
            </w:r>
            <w:r w:rsidRPr="00E15A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 також підприємствами, установами та організаціями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центральними органами виконавчої влади та їх територіальними підрозділами;</w:t>
            </w:r>
          </w:p>
          <w:p w:rsidR="002E0FBA" w:rsidRDefault="002E0FBA" w:rsidP="00CF5BE1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 інші обов’язки, визначені посадовою інструкцією та доручення начальника відділу.</w:t>
            </w:r>
          </w:p>
          <w:p w:rsidR="00CF5BE1" w:rsidRPr="00CF5BE1" w:rsidRDefault="00CF5BE1" w:rsidP="00CF5BE1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CE004F" w:rsidRDefault="00CE004F" w:rsidP="00CE004F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головного спеціаліста відділу  </w:t>
            </w:r>
            <w:r w:rsidRPr="002E0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контрольно-аналітичного забезпечення заступників керівника апарату виконавчого органу Київської міської ради (Київської міської державної адміністрації) управління контрольно-аналітичного забезпечення </w:t>
            </w:r>
            <w:r w:rsidRPr="002E0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керівництва 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складає 5500,00 гривень відповідно до Схеми посадових окладів на посадах державної служби з урахуванням категорій,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підкатегорій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2E0FBA" w:rsidRDefault="002E0FBA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компенсації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0FBA" w:rsidTr="002E0FBA">
        <w:tc>
          <w:tcPr>
            <w:tcW w:w="2660" w:type="dxa"/>
            <w:gridSpan w:val="2"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2E0FBA" w:rsidRDefault="002E0FBA" w:rsidP="00501D0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2E0FBA" w:rsidRDefault="002E0FBA" w:rsidP="00501D0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2E0FBA" w:rsidRDefault="002E0FBA" w:rsidP="00501D0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2E0FBA" w:rsidRDefault="002E0FBA" w:rsidP="00501D0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E0FBA" w:rsidRDefault="002E0FBA" w:rsidP="00501D0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E0FBA" w:rsidRDefault="002E0FBA" w:rsidP="00501D0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2E0FBA" w:rsidRDefault="002E0FBA" w:rsidP="00501D0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E0FBA" w:rsidRDefault="002E0FBA" w:rsidP="00501D0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E0FBA" w:rsidRDefault="002E0FB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, репутації (характеристики,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>рекомендації, наукові публікації тощо).</w:t>
            </w:r>
          </w:p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47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00 </w:t>
            </w:r>
            <w:r w:rsidR="0023552A" w:rsidRPr="00235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0FBA" w:rsidRPr="0023552A" w:rsidRDefault="002E0FBA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2E0FBA" w:rsidRDefault="002E0FBA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2E0FBA" w:rsidRDefault="002E0FBA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2E0FBA" w:rsidRDefault="002E0FBA" w:rsidP="0023552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23552A" w:rsidRPr="003B0F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2020 року об 11.00.</w:t>
            </w:r>
          </w:p>
        </w:tc>
      </w:tr>
      <w:tr w:rsidR="002E0FBA" w:rsidTr="002E0FBA">
        <w:tc>
          <w:tcPr>
            <w:tcW w:w="2660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2E0FBA" w:rsidTr="002E0FBA">
        <w:tc>
          <w:tcPr>
            <w:tcW w:w="9889" w:type="dxa"/>
            <w:gridSpan w:val="4"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2E0FBA" w:rsidRDefault="002E0FBA" w:rsidP="0003499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ступеня не нижче</w:t>
            </w:r>
            <w:r w:rsidR="0003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</w:t>
            </w:r>
            <w:r w:rsidR="0003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молодшого бакалавра</w:t>
            </w: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2E0FBA" w:rsidRDefault="002E0FBA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E0FBA" w:rsidTr="002E0FBA">
        <w:tc>
          <w:tcPr>
            <w:tcW w:w="9889" w:type="dxa"/>
            <w:gridSpan w:val="4"/>
          </w:tcPr>
          <w:p w:rsidR="002E0FBA" w:rsidRDefault="002E0FBA">
            <w:pPr>
              <w:tabs>
                <w:tab w:val="left" w:pos="3525"/>
              </w:tabs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E0FBA" w:rsidTr="002E0FBA">
        <w:tc>
          <w:tcPr>
            <w:tcW w:w="9889" w:type="dxa"/>
            <w:gridSpan w:val="4"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  <w:p w:rsidR="002E0FBA" w:rsidRDefault="002E0F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A10BE6" w:rsidRDefault="002E0FBA" w:rsidP="00A10BE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A10BE6">
              <w:rPr>
                <w:color w:val="000000"/>
                <w:sz w:val="28"/>
                <w:szCs w:val="28"/>
                <w:lang w:val="uk-UA" w:eastAsia="en-US"/>
              </w:rPr>
              <w:t xml:space="preserve">  уміння працювати в колективі;</w:t>
            </w:r>
          </w:p>
          <w:p w:rsidR="00A10BE6" w:rsidRDefault="00A10BE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 ініціативність;</w:t>
            </w:r>
          </w:p>
          <w:p w:rsidR="00A10BE6" w:rsidRDefault="00A10BE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 дисциплінованість;</w:t>
            </w:r>
          </w:p>
          <w:p w:rsidR="002E0FBA" w:rsidRDefault="00A10BE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  </w:t>
            </w:r>
            <w:r w:rsidR="002E0FBA">
              <w:rPr>
                <w:color w:val="000000"/>
                <w:sz w:val="28"/>
                <w:szCs w:val="28"/>
                <w:lang w:val="uk-UA" w:eastAsia="en-US"/>
              </w:rPr>
              <w:t>оперативність;</w:t>
            </w:r>
          </w:p>
          <w:p w:rsidR="002E0FBA" w:rsidRDefault="002E0FBA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A10BE6">
              <w:rPr>
                <w:color w:val="000000"/>
                <w:sz w:val="28"/>
                <w:szCs w:val="28"/>
                <w:lang w:val="uk-UA" w:eastAsia="en-US"/>
              </w:rPr>
              <w:t xml:space="preserve">  вимогливість до себе</w:t>
            </w:r>
          </w:p>
          <w:p w:rsidR="002E0FBA" w:rsidRDefault="002E0FBA" w:rsidP="00A10BE6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2E0FBA" w:rsidRPr="003B0FA3" w:rsidTr="002E0FBA">
        <w:tc>
          <w:tcPr>
            <w:tcW w:w="534" w:type="dxa"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2E0FBA" w:rsidRDefault="002E0FBA" w:rsidP="00A10BE6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2E0FBA" w:rsidRDefault="002E0FBA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відповідальність;</w:t>
            </w:r>
          </w:p>
          <w:p w:rsidR="002E0FBA" w:rsidRDefault="002E0FBA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комунікабельність;</w:t>
            </w:r>
          </w:p>
          <w:p w:rsidR="002E0FBA" w:rsidRDefault="002E0FBA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контроль емоцій;</w:t>
            </w:r>
          </w:p>
          <w:p w:rsidR="00A10BE6" w:rsidRDefault="00A10BE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    порядність;</w:t>
            </w:r>
          </w:p>
          <w:p w:rsidR="00A10BE6" w:rsidRDefault="00A10BE6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неупередженість</w:t>
            </w:r>
            <w:r w:rsidR="002E0FB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E0FBA" w:rsidRDefault="002E0FBA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E0FBA" w:rsidTr="002E0FBA">
        <w:tc>
          <w:tcPr>
            <w:tcW w:w="9889" w:type="dxa"/>
            <w:gridSpan w:val="4"/>
          </w:tcPr>
          <w:p w:rsidR="002E0FBA" w:rsidRDefault="002E0FBA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br/>
              <w:t>Професійні знання</w:t>
            </w:r>
          </w:p>
          <w:p w:rsidR="002E0FBA" w:rsidRDefault="002E0FBA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2E0FBA" w:rsidTr="002E0FBA">
        <w:tc>
          <w:tcPr>
            <w:tcW w:w="534" w:type="dxa"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2E0FBA" w:rsidRDefault="002E0FBA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2E0FBA" w:rsidRDefault="002E0FBA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2E0FBA" w:rsidTr="002E0FBA">
        <w:tc>
          <w:tcPr>
            <w:tcW w:w="534" w:type="dxa"/>
            <w:hideMark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2E0FBA" w:rsidRDefault="002E0F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2E0FBA" w:rsidRDefault="002E0FBA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2E0FBA" w:rsidRDefault="002E0FB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E0FBA" w:rsidRDefault="002E0FB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2E0FBA" w:rsidRDefault="002E0FB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E0FBA" w:rsidRDefault="002E0FBA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2E0FBA" w:rsidRPr="003B0FA3" w:rsidTr="00695550">
        <w:trPr>
          <w:trHeight w:val="3828"/>
        </w:trPr>
        <w:tc>
          <w:tcPr>
            <w:tcW w:w="534" w:type="dxa"/>
          </w:tcPr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FBA" w:rsidRDefault="002E0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E0FBA" w:rsidRDefault="002E0FBA" w:rsidP="006955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0" w:type="dxa"/>
            <w:hideMark/>
          </w:tcPr>
          <w:p w:rsidR="002E0FBA" w:rsidRDefault="002E0FB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2E0FBA" w:rsidRDefault="002E0FB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2E0FBA" w:rsidRDefault="00A10B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звернення громадян</w:t>
            </w:r>
            <w:r w:rsidR="002E0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2E0FBA" w:rsidRDefault="0069555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захист персональних даних</w:t>
            </w:r>
            <w:r w:rsidR="002E0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695550" w:rsidRDefault="002E0FBA" w:rsidP="0069555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A10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електронні документи та електронний документообіг</w:t>
            </w:r>
            <w:r w:rsidR="0069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2E0FBA" w:rsidRDefault="00695550" w:rsidP="00695550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</w:t>
            </w:r>
            <w:r w:rsidR="00034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08 жовтня 2013 року № 1810.</w:t>
            </w:r>
            <w:r w:rsidR="002E0F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E0FBA" w:rsidRDefault="002E0FBA" w:rsidP="002E0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0FBA" w:rsidRDefault="002E0FBA" w:rsidP="002E0FBA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p w:rsidR="001A0663" w:rsidRDefault="001A0663"/>
    <w:sectPr w:rsidR="001A0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9"/>
    <w:rsid w:val="0003499B"/>
    <w:rsid w:val="001A0663"/>
    <w:rsid w:val="0023552A"/>
    <w:rsid w:val="002E0FBA"/>
    <w:rsid w:val="0034456E"/>
    <w:rsid w:val="00367B99"/>
    <w:rsid w:val="003B0FA3"/>
    <w:rsid w:val="004B729E"/>
    <w:rsid w:val="0052737E"/>
    <w:rsid w:val="00547FFB"/>
    <w:rsid w:val="00695550"/>
    <w:rsid w:val="006B6D81"/>
    <w:rsid w:val="00A10BE6"/>
    <w:rsid w:val="00CE004F"/>
    <w:rsid w:val="00CF5BE1"/>
    <w:rsid w:val="00E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FBA"/>
    <w:rPr>
      <w:color w:val="0000FF"/>
      <w:u w:val="single"/>
    </w:rPr>
  </w:style>
  <w:style w:type="paragraph" w:customStyle="1" w:styleId="rvps2">
    <w:name w:val="rvps2"/>
    <w:basedOn w:val="a"/>
    <w:rsid w:val="002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2E0FBA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2E0F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FBA"/>
    <w:rPr>
      <w:color w:val="0000FF"/>
      <w:u w:val="single"/>
    </w:rPr>
  </w:style>
  <w:style w:type="paragraph" w:customStyle="1" w:styleId="rvps2">
    <w:name w:val="rvps2"/>
    <w:basedOn w:val="a"/>
    <w:rsid w:val="002E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2E0FBA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2E0F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FF75-9F17-47BE-9FF3-14EEF18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2020-01-20T08:46:00Z</cp:lastPrinted>
  <dcterms:created xsi:type="dcterms:W3CDTF">2020-01-20T08:00:00Z</dcterms:created>
  <dcterms:modified xsi:type="dcterms:W3CDTF">2020-02-03T14:55:00Z</dcterms:modified>
</cp:coreProperties>
</file>