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C2" w:rsidRDefault="00E50DC2" w:rsidP="00E50DC2">
      <w:pPr>
        <w:spacing w:after="0" w:line="240" w:lineRule="auto"/>
        <w:ind w:left="4678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E50DC2" w:rsidRDefault="00E50DC2" w:rsidP="00E50DC2">
      <w:pPr>
        <w:spacing w:after="0" w:line="240" w:lineRule="auto"/>
        <w:ind w:left="4678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 керівника апарату</w:t>
      </w:r>
    </w:p>
    <w:p w:rsidR="00E50DC2" w:rsidRDefault="00E50DC2" w:rsidP="00E50DC2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виконавчого органу Київської </w:t>
      </w:r>
    </w:p>
    <w:p w:rsidR="00E50DC2" w:rsidRDefault="00E50DC2" w:rsidP="00E50DC2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міської ради (Київської міської  </w:t>
      </w:r>
    </w:p>
    <w:p w:rsidR="00E50DC2" w:rsidRDefault="00E50DC2" w:rsidP="00E50DC2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державної адміністрації)</w:t>
      </w:r>
    </w:p>
    <w:p w:rsidR="00E50DC2" w:rsidRDefault="00E50DC2" w:rsidP="00E50DC2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12"/>
          <w:szCs w:val="12"/>
        </w:rPr>
      </w:pPr>
    </w:p>
    <w:p w:rsidR="00FE3F96" w:rsidRDefault="00E50DC2" w:rsidP="00FE3F96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E3F96">
        <w:rPr>
          <w:rFonts w:ascii="Times New Roman" w:hAnsi="Times New Roman" w:cs="Times New Roman"/>
          <w:color w:val="000000"/>
          <w:sz w:val="28"/>
          <w:szCs w:val="28"/>
          <w:lang w:val="uk-UA"/>
        </w:rPr>
        <w:t>_</w:t>
      </w:r>
      <w:r w:rsidR="00FE3F9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від 03 лютого 2020 року </w:t>
      </w:r>
      <w:r w:rsidR="00FE3F96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__</w:t>
      </w:r>
      <w:r w:rsidR="00FE3F9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8</w:t>
      </w:r>
      <w:r w:rsidR="00FE3F96">
        <w:rPr>
          <w:rFonts w:ascii="Times New Roman" w:hAnsi="Times New Roman" w:cs="Times New Roman"/>
          <w:color w:val="000000"/>
          <w:sz w:val="28"/>
          <w:szCs w:val="28"/>
          <w:lang w:val="uk-UA"/>
        </w:rPr>
        <w:t>__</w:t>
      </w:r>
    </w:p>
    <w:p w:rsidR="00E50DC2" w:rsidRDefault="00E50DC2" w:rsidP="00FE3F9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50DC2" w:rsidRDefault="00E50DC2" w:rsidP="00E50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0DC2" w:rsidRDefault="00E50DC2" w:rsidP="00E50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E50DC2" w:rsidRDefault="00E50DC2" w:rsidP="00E5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конкурсу на зайняття вакантної посади головного спеціаліста відділу </w:t>
      </w:r>
      <w:r w:rsidR="00786506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координації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моніторингу </w:t>
      </w:r>
      <w:r w:rsidR="00786506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масових заходів у місті Києві та реалізації проектів </w:t>
      </w:r>
      <w:r>
        <w:rPr>
          <w:rFonts w:ascii="Times New Roman" w:hAnsi="Times New Roman" w:cs="Times New Roman"/>
          <w:sz w:val="28"/>
          <w:szCs w:val="28"/>
          <w:lang w:val="uk-UA"/>
        </w:rPr>
        <w:t>апарату виконавчого органу Київської міської ради (Київської міської державної адміністрації) (категорія «В»)</w:t>
      </w:r>
      <w:r w:rsidR="00014924">
        <w:rPr>
          <w:rFonts w:ascii="Times New Roman" w:hAnsi="Times New Roman" w:cs="Times New Roman"/>
          <w:sz w:val="28"/>
          <w:szCs w:val="28"/>
          <w:lang w:val="uk-UA"/>
        </w:rPr>
        <w:t xml:space="preserve"> (2 посади)</w:t>
      </w:r>
    </w:p>
    <w:p w:rsidR="00E50DC2" w:rsidRDefault="00E50DC2" w:rsidP="00E5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tbl>
      <w:tblPr>
        <w:tblStyle w:val="a5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6520"/>
      </w:tblGrid>
      <w:tr w:rsidR="00E50DC2" w:rsidTr="00E50DC2">
        <w:tc>
          <w:tcPr>
            <w:tcW w:w="9889" w:type="dxa"/>
            <w:gridSpan w:val="4"/>
          </w:tcPr>
          <w:p w:rsidR="00E50DC2" w:rsidRDefault="00E5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умови</w:t>
            </w:r>
          </w:p>
          <w:p w:rsidR="00E50DC2" w:rsidRDefault="00E50DC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E50DC2" w:rsidTr="00E50DC2">
        <w:tc>
          <w:tcPr>
            <w:tcW w:w="2660" w:type="dxa"/>
            <w:gridSpan w:val="2"/>
            <w:hideMark/>
          </w:tcPr>
          <w:p w:rsidR="00E50DC2" w:rsidRDefault="00E50D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Посадові обов’язки </w:t>
            </w:r>
          </w:p>
        </w:tc>
        <w:tc>
          <w:tcPr>
            <w:tcW w:w="7229" w:type="dxa"/>
            <w:gridSpan w:val="2"/>
            <w:hideMark/>
          </w:tcPr>
          <w:p w:rsidR="00FB0787" w:rsidRDefault="00E50DC2" w:rsidP="00FB0787">
            <w:pPr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="00676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координації та моніторингу проведення масових заходів у місті Києві та реалізації проектів апарату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виконавчого органу Київської міської ради (Київської міської державної адміністрації)</w:t>
            </w:r>
            <w:r w:rsidR="00FB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B0787" w:rsidRPr="00CD6530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FB0787">
              <w:rPr>
                <w:rFonts w:ascii="Times New Roman" w:hAnsi="Times New Roman"/>
                <w:sz w:val="28"/>
                <w:szCs w:val="28"/>
                <w:lang w:val="uk-UA"/>
              </w:rPr>
              <w:t>далі – відділ)</w:t>
            </w:r>
            <w:r w:rsidR="00FB078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:</w:t>
            </w:r>
          </w:p>
          <w:p w:rsidR="00FB0787" w:rsidRDefault="00FB0787" w:rsidP="00FB0787">
            <w:pPr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бере участь у підготовці проєктів розпоряджень виконавчого органу Київської міської ради (Київської міської державної адміністрації) </w:t>
            </w:r>
            <w:r w:rsidR="00B5261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у межах повноважень</w:t>
            </w:r>
            <w:r w:rsidR="00B5261D" w:rsidRPr="00B5261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відділу;</w:t>
            </w:r>
          </w:p>
          <w:p w:rsidR="00FB0787" w:rsidRDefault="00FB0787" w:rsidP="00FB0787">
            <w:pPr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дорученням начальника відділу бере участь у розробці законопроєктів та проєктів інших нормативно-правових актів;</w:t>
            </w:r>
          </w:p>
          <w:p w:rsidR="00FB0787" w:rsidRDefault="00FB0787" w:rsidP="00FB0787">
            <w:pPr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дорученням начальника відділу бере участь в координації дій структурних підрозділів виконавчого органу Київської міської ради (Київської міської державної адміністрації), районних в місті Києві державних адміністрацій під час організації та проведення масових заходів у</w:t>
            </w:r>
            <w:r w:rsidR="00B5261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місті Києві, в тому числі кіно</w:t>
            </w:r>
            <w:r w:rsidR="00B5261D" w:rsidRPr="00B5261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="00B5261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та</w:t>
            </w:r>
            <w:r w:rsidR="00B5261D" w:rsidRPr="00B5261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відео зйомок, реалізації міських проектів культурно-просвітницького, спортивного, видовищного та іншого характеру;</w:t>
            </w:r>
          </w:p>
          <w:p w:rsidR="00FB0787" w:rsidRDefault="00FB0787" w:rsidP="00FB0787">
            <w:pPr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бере участь у забезпеченні взаємодії між структурними підрозділами виконавчого органу Київської міської ради (Київської міської державної адміністрації), органами місцевого самоврядування, органами виконавчої влади, підприємствами, установами, організаціями незалежно від форми власності з питань, що належать до компетенції відділу;</w:t>
            </w:r>
          </w:p>
          <w:p w:rsidR="00FB0787" w:rsidRDefault="00FB0787" w:rsidP="00FB0787">
            <w:pPr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дорученням начальника відділу здійснює моніторинг проведення масових заходів у</w:t>
            </w:r>
            <w:r w:rsidR="00B5261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місті Києві, в тому числі кіно</w:t>
            </w:r>
            <w:r w:rsidR="00B5261D" w:rsidRPr="00B5261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="00B5261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та</w:t>
            </w:r>
            <w:r w:rsidR="00B5261D" w:rsidRPr="00B5261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відео зйомок, реалізації міських про</w:t>
            </w:r>
            <w:r w:rsidR="00742F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ктів культурно-просвітницького, спортивного,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видовищного та іншого характеру;</w:t>
            </w:r>
          </w:p>
          <w:p w:rsidR="00FB0787" w:rsidRDefault="00FB0787" w:rsidP="00FB0787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готує пропозиції начальнику відділу та за його дорученням керівництву</w:t>
            </w:r>
            <w:r w:rsidR="00B5261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виконавчого органу Київської міської ради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Київської </w:t>
            </w:r>
            <w:r w:rsidR="00B5261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міської державної адміністрації)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щодо шляхів, механізмів та способів вирішення проблемних питань, що виникають під час організації та проведення масових заходів, у тому числі кіно та відео</w:t>
            </w:r>
            <w:r w:rsidR="00742F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зйомок, реалізації міських проє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ктів культурно-просвітницького, спортивного видовищного та іншого характеру у місті Києві;</w:t>
            </w:r>
          </w:p>
          <w:p w:rsidR="00E50DC2" w:rsidRDefault="00FB0787" w:rsidP="00FB0787">
            <w:pPr>
              <w:shd w:val="clear" w:color="auto" w:fill="FFFFFF"/>
              <w:tabs>
                <w:tab w:val="left" w:pos="0"/>
                <w:tab w:val="left" w:pos="180"/>
                <w:tab w:val="left" w:pos="1680"/>
                <w:tab w:val="left" w:pos="9180"/>
                <w:tab w:val="left" w:pos="9720"/>
              </w:tabs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здійснює інші, передбачені законодавством, повноваження.</w:t>
            </w:r>
          </w:p>
          <w:p w:rsidR="00FB0787" w:rsidRPr="00FB0787" w:rsidRDefault="00FB0787" w:rsidP="00FB0787">
            <w:pPr>
              <w:shd w:val="clear" w:color="auto" w:fill="FFFFFF"/>
              <w:tabs>
                <w:tab w:val="left" w:pos="0"/>
                <w:tab w:val="left" w:pos="180"/>
                <w:tab w:val="left" w:pos="1680"/>
                <w:tab w:val="left" w:pos="9180"/>
                <w:tab w:val="left" w:pos="9720"/>
              </w:tabs>
              <w:ind w:firstLine="459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E50DC2" w:rsidTr="00E50DC2">
        <w:tc>
          <w:tcPr>
            <w:tcW w:w="2660" w:type="dxa"/>
            <w:gridSpan w:val="2"/>
            <w:hideMark/>
          </w:tcPr>
          <w:p w:rsidR="00E50DC2" w:rsidRDefault="00E50D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7229" w:type="dxa"/>
            <w:gridSpan w:val="2"/>
            <w:hideMark/>
          </w:tcPr>
          <w:p w:rsidR="00E50DC2" w:rsidRDefault="00E50DC2" w:rsidP="00BE5EA8">
            <w:pPr>
              <w:numPr>
                <w:ilvl w:val="0"/>
                <w:numId w:val="1"/>
              </w:numPr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головного спеціаліста відділу  </w:t>
            </w:r>
            <w:r w:rsidR="00676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координації та моніторингу проведення масових заходів у місті Києві та реалізації проектів апарату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складає 5500,00 гривень відповідно до Схеми посадових окладів на посадах державної служби з урахуванням категорій, підкатегорій та рівнів державних органів у 2020 році, затвердженої постановою Кабінету Міністрів України від 18 січня 2017 року № 15 (в редакції постанови Кабінету Міністрів України від 15 січня 2020 року № 16);</w:t>
            </w:r>
          </w:p>
          <w:p w:rsidR="00E50DC2" w:rsidRDefault="00E50DC2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2) надбавки, доплати, премії та компенсації – відповідно до статті 52 Закону України «Про державну службу».</w:t>
            </w:r>
          </w:p>
        </w:tc>
      </w:tr>
      <w:tr w:rsidR="00E50DC2" w:rsidTr="00E50DC2">
        <w:tc>
          <w:tcPr>
            <w:tcW w:w="2660" w:type="dxa"/>
            <w:gridSpan w:val="2"/>
            <w:hideMark/>
          </w:tcPr>
          <w:p w:rsidR="00E50DC2" w:rsidRDefault="00E50D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229" w:type="dxa"/>
            <w:gridSpan w:val="2"/>
            <w:hideMark/>
          </w:tcPr>
          <w:p w:rsidR="00E50DC2" w:rsidRDefault="00E50DC2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строково</w:t>
            </w:r>
          </w:p>
        </w:tc>
      </w:tr>
      <w:tr w:rsidR="00E50DC2" w:rsidTr="00E50DC2">
        <w:tc>
          <w:tcPr>
            <w:tcW w:w="2660" w:type="dxa"/>
            <w:gridSpan w:val="2"/>
          </w:tcPr>
          <w:p w:rsidR="00E50DC2" w:rsidRDefault="00E50D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інформації, необхідної для участі в конкурсі, та строк її подання</w:t>
            </w:r>
          </w:p>
          <w:p w:rsidR="00E50DC2" w:rsidRDefault="00E50D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gridSpan w:val="2"/>
            <w:hideMark/>
          </w:tcPr>
          <w:p w:rsidR="00E50DC2" w:rsidRDefault="00E50DC2" w:rsidP="00BE5EA8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заява про участь у конкурсі із зазначенням основних мотивів щодо зайняття посади за формою згідно з додатком 2 до </w:t>
            </w:r>
            <w:r>
              <w:rPr>
                <w:sz w:val="28"/>
                <w:szCs w:val="28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 (в редакції постанови Кабінету Міністрів України від 18 серпня 2017 року № 648) (далі – Порядок);</w:t>
            </w:r>
          </w:p>
          <w:p w:rsidR="00E50DC2" w:rsidRDefault="00E50DC2" w:rsidP="00BE5EA8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резюме за формою згідно з додатком 2¹ до Порядку, в якому обов’язково зазначається така інформація:</w:t>
            </w:r>
          </w:p>
          <w:p w:rsidR="00E50DC2" w:rsidRDefault="00E50DC2" w:rsidP="00BE5EA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прізвище, ім’я, по батькові кандидата;</w:t>
            </w:r>
          </w:p>
          <w:p w:rsidR="00E50DC2" w:rsidRDefault="00E50DC2" w:rsidP="00BE5EA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E50DC2" w:rsidRDefault="00E50DC2" w:rsidP="00BE5EA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E50DC2" w:rsidRDefault="00E50DC2" w:rsidP="00BE5EA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підтвердження рівня володіння державною мовою;</w:t>
            </w:r>
          </w:p>
          <w:p w:rsidR="00E50DC2" w:rsidRDefault="00E50DC2" w:rsidP="00BE5EA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відомості про стаж роботи, стаж державної служби (за наявності), досвід роботи на відповідних посадах;</w:t>
            </w:r>
          </w:p>
          <w:p w:rsidR="00E50DC2" w:rsidRDefault="00E50DC2" w:rsidP="00BE5EA8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E50DC2" w:rsidRDefault="00E50DC2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E50DC2" w:rsidRDefault="00E50DC2" w:rsidP="006E618B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Інформація приймається до </w:t>
            </w:r>
            <w:r w:rsidR="006E618B" w:rsidRPr="006E6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E618B" w:rsidRPr="006E6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лютого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 року виключно через Єдиний портал вакансій державної служби Національного агентства України з питань державної служби за посиланням: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https://career.gov.ua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50DC2" w:rsidTr="00E50DC2">
        <w:tc>
          <w:tcPr>
            <w:tcW w:w="2660" w:type="dxa"/>
            <w:gridSpan w:val="2"/>
            <w:hideMark/>
          </w:tcPr>
          <w:p w:rsidR="00E50DC2" w:rsidRDefault="00E50D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7229" w:type="dxa"/>
            <w:gridSpan w:val="2"/>
          </w:tcPr>
          <w:p w:rsidR="00E50DC2" w:rsidRDefault="00E50DC2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Заява щодо забезпечення розумним пристосуванням за формою згідно з додатком 3 до Порядку.</w:t>
            </w:r>
          </w:p>
          <w:p w:rsidR="00E50DC2" w:rsidRDefault="00E50DC2">
            <w:pPr>
              <w:ind w:firstLine="708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E50DC2" w:rsidTr="00E50DC2">
        <w:tc>
          <w:tcPr>
            <w:tcW w:w="2660" w:type="dxa"/>
            <w:gridSpan w:val="2"/>
            <w:hideMark/>
          </w:tcPr>
          <w:p w:rsidR="00E50DC2" w:rsidRDefault="00E50D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Місце, час і дата початку проведення оцінювання кандидатів </w:t>
            </w:r>
          </w:p>
        </w:tc>
        <w:tc>
          <w:tcPr>
            <w:tcW w:w="7229" w:type="dxa"/>
            <w:gridSpan w:val="2"/>
            <w:hideMark/>
          </w:tcPr>
          <w:p w:rsidR="00E50DC2" w:rsidRDefault="00E50DC2" w:rsidP="006E618B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вул. Хрещатик, 36, </w:t>
            </w:r>
            <w:r w:rsidR="006E6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лютого 2020 року об 11.00.</w:t>
            </w:r>
          </w:p>
        </w:tc>
      </w:tr>
      <w:tr w:rsidR="00E50DC2" w:rsidTr="00E50DC2">
        <w:tc>
          <w:tcPr>
            <w:tcW w:w="2660" w:type="dxa"/>
            <w:gridSpan w:val="2"/>
            <w:hideMark/>
          </w:tcPr>
          <w:p w:rsidR="00E50DC2" w:rsidRDefault="00E50D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29" w:type="dxa"/>
            <w:gridSpan w:val="2"/>
            <w:hideMark/>
          </w:tcPr>
          <w:p w:rsidR="00E50DC2" w:rsidRDefault="00E50DC2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Шанаєва Тетяна Валентинівна, +38 (044) 202-75-31, адреса електронної пошти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kadry@kma.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gov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.ua</w:t>
            </w:r>
          </w:p>
        </w:tc>
      </w:tr>
      <w:tr w:rsidR="00E50DC2" w:rsidTr="00E50DC2">
        <w:tc>
          <w:tcPr>
            <w:tcW w:w="9889" w:type="dxa"/>
            <w:gridSpan w:val="4"/>
          </w:tcPr>
          <w:p w:rsidR="00E50DC2" w:rsidRDefault="00E5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Кваліфікаційні вимоги</w:t>
            </w:r>
          </w:p>
          <w:p w:rsidR="00E50DC2" w:rsidRDefault="00E50DC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E50DC2" w:rsidTr="00E50DC2">
        <w:tc>
          <w:tcPr>
            <w:tcW w:w="534" w:type="dxa"/>
            <w:hideMark/>
          </w:tcPr>
          <w:p w:rsidR="00E50DC2" w:rsidRDefault="00E5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E50DC2" w:rsidRDefault="00E50D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520" w:type="dxa"/>
            <w:hideMark/>
          </w:tcPr>
          <w:p w:rsidR="00E50DC2" w:rsidRPr="00676BE8" w:rsidRDefault="00E50DC2" w:rsidP="00FB078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ищ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ступеня не нижче  бакалавра</w:t>
            </w:r>
            <w:r w:rsidR="00676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молодшого бакалавра</w:t>
            </w:r>
          </w:p>
        </w:tc>
      </w:tr>
      <w:tr w:rsidR="00E50DC2" w:rsidTr="00E50DC2">
        <w:tc>
          <w:tcPr>
            <w:tcW w:w="534" w:type="dxa"/>
            <w:hideMark/>
          </w:tcPr>
          <w:p w:rsidR="00E50DC2" w:rsidRDefault="00E5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35" w:type="dxa"/>
            <w:gridSpan w:val="2"/>
            <w:hideMark/>
          </w:tcPr>
          <w:p w:rsidR="00E50DC2" w:rsidRDefault="00E50D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520" w:type="dxa"/>
            <w:hideMark/>
          </w:tcPr>
          <w:p w:rsidR="00E50DC2" w:rsidRDefault="00E50DC2" w:rsidP="00FB0787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Не обов’язково</w:t>
            </w:r>
          </w:p>
        </w:tc>
      </w:tr>
      <w:tr w:rsidR="00E50DC2" w:rsidTr="00E50DC2">
        <w:tc>
          <w:tcPr>
            <w:tcW w:w="534" w:type="dxa"/>
            <w:hideMark/>
          </w:tcPr>
          <w:p w:rsidR="00E50DC2" w:rsidRDefault="00E5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35" w:type="dxa"/>
            <w:gridSpan w:val="2"/>
            <w:hideMark/>
          </w:tcPr>
          <w:p w:rsidR="00E50DC2" w:rsidRDefault="00E50D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520" w:type="dxa"/>
          </w:tcPr>
          <w:p w:rsidR="00E50DC2" w:rsidRDefault="00E50DC2" w:rsidP="00FB078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  <w:p w:rsidR="00E50DC2" w:rsidRDefault="00E50DC2" w:rsidP="00FB0787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50DC2" w:rsidTr="00E50DC2">
        <w:tc>
          <w:tcPr>
            <w:tcW w:w="9889" w:type="dxa"/>
            <w:gridSpan w:val="4"/>
          </w:tcPr>
          <w:p w:rsidR="00E50DC2" w:rsidRDefault="00E50DC2">
            <w:pPr>
              <w:tabs>
                <w:tab w:val="left" w:pos="3525"/>
              </w:tabs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E50DC2" w:rsidRDefault="00E50DC2" w:rsidP="00B526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E50DC2" w:rsidTr="00E50DC2">
        <w:tc>
          <w:tcPr>
            <w:tcW w:w="9889" w:type="dxa"/>
            <w:gridSpan w:val="4"/>
          </w:tcPr>
          <w:p w:rsidR="00E50DC2" w:rsidRDefault="00E50D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E50DC2" w:rsidRDefault="00E50DC2" w:rsidP="00B526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   Компоненти вимоги</w:t>
            </w:r>
          </w:p>
        </w:tc>
      </w:tr>
      <w:tr w:rsidR="00E50DC2" w:rsidTr="00E50DC2">
        <w:tc>
          <w:tcPr>
            <w:tcW w:w="534" w:type="dxa"/>
            <w:hideMark/>
          </w:tcPr>
          <w:p w:rsidR="00E50DC2" w:rsidRDefault="00E5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E50DC2" w:rsidRDefault="00E50D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Ділові якості</w:t>
            </w:r>
          </w:p>
        </w:tc>
        <w:tc>
          <w:tcPr>
            <w:tcW w:w="6520" w:type="dxa"/>
          </w:tcPr>
          <w:p w:rsidR="00676BE8" w:rsidRDefault="00E50DC2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- </w:t>
            </w:r>
            <w:r w:rsidR="00676BE8">
              <w:rPr>
                <w:color w:val="000000"/>
                <w:sz w:val="28"/>
                <w:szCs w:val="28"/>
                <w:lang w:val="uk-UA" w:eastAsia="en-US"/>
              </w:rPr>
              <w:t xml:space="preserve"> уміння працювати в команді;</w:t>
            </w:r>
          </w:p>
          <w:p w:rsidR="00676BE8" w:rsidRDefault="00676BE8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 уміння дотримуватись субординації;</w:t>
            </w:r>
          </w:p>
          <w:p w:rsidR="00676BE8" w:rsidRDefault="00676BE8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 аналітичні здібності;</w:t>
            </w:r>
          </w:p>
          <w:p w:rsidR="00E50DC2" w:rsidRDefault="00676BE8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- </w:t>
            </w:r>
            <w:r w:rsidR="00E50DC2">
              <w:rPr>
                <w:color w:val="000000"/>
                <w:sz w:val="28"/>
                <w:szCs w:val="28"/>
                <w:lang w:val="uk-UA" w:eastAsia="en-US"/>
              </w:rPr>
              <w:t xml:space="preserve">вміння визначати пріоритети, аргументовано </w:t>
            </w:r>
            <w:r w:rsidR="00E50DC2"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доводити власну точку зору;</w:t>
            </w:r>
          </w:p>
          <w:p w:rsidR="00676BE8" w:rsidRDefault="00676BE8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здатність концентруватися на деталях;</w:t>
            </w:r>
          </w:p>
          <w:p w:rsidR="00E50DC2" w:rsidRDefault="00E50DC2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оперативність;</w:t>
            </w:r>
          </w:p>
          <w:p w:rsidR="00E50DC2" w:rsidRDefault="00676BE8" w:rsidP="00B5261D">
            <w:pPr>
              <w:pStyle w:val="1"/>
              <w:spacing w:after="0"/>
              <w:jc w:val="both"/>
              <w:rPr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стресостійкість</w:t>
            </w:r>
          </w:p>
        </w:tc>
      </w:tr>
      <w:tr w:rsidR="00E50DC2" w:rsidRPr="006E618B" w:rsidTr="00E50DC2">
        <w:tc>
          <w:tcPr>
            <w:tcW w:w="534" w:type="dxa"/>
          </w:tcPr>
          <w:p w:rsidR="00E50DC2" w:rsidRDefault="00E5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  <w:p w:rsidR="00E50DC2" w:rsidRDefault="00E5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0DC2" w:rsidRDefault="00E5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E50DC2" w:rsidRDefault="00E50D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працювати з комп’ютером </w:t>
            </w:r>
          </w:p>
          <w:p w:rsidR="00E50DC2" w:rsidRDefault="00E50D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hideMark/>
          </w:tcPr>
          <w:p w:rsidR="00E50DC2" w:rsidRDefault="00E50DC2" w:rsidP="00676BE8">
            <w:pPr>
              <w:pStyle w:val="1"/>
              <w:numPr>
                <w:ilvl w:val="0"/>
                <w:numId w:val="3"/>
              </w:numPr>
              <w:spacing w:after="0"/>
              <w:ind w:left="0" w:firstLine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вміння використовувати комп’ютерне обладнання та програмне забезпечення, використовувати офісну техніку; досвідчений користувач MS Word,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MS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Excel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; навички роботи з інформаційно-пошуковими системами в мережі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Internet</w:t>
            </w:r>
          </w:p>
        </w:tc>
      </w:tr>
      <w:tr w:rsidR="00E50DC2" w:rsidTr="00E50DC2">
        <w:tc>
          <w:tcPr>
            <w:tcW w:w="534" w:type="dxa"/>
            <w:hideMark/>
          </w:tcPr>
          <w:p w:rsidR="00E50DC2" w:rsidRDefault="00E5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35" w:type="dxa"/>
            <w:gridSpan w:val="2"/>
          </w:tcPr>
          <w:p w:rsidR="00E50DC2" w:rsidRDefault="00E50D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Особистісні якості</w:t>
            </w:r>
          </w:p>
          <w:p w:rsidR="00E50DC2" w:rsidRDefault="00E50D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hideMark/>
          </w:tcPr>
          <w:p w:rsidR="00E50DC2" w:rsidRDefault="00E50DC2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  </w:t>
            </w:r>
            <w:r w:rsidR="00676BE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відповідальність;</w:t>
            </w:r>
          </w:p>
          <w:p w:rsidR="00676BE8" w:rsidRDefault="00676BE8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неупередженість;</w:t>
            </w:r>
          </w:p>
          <w:p w:rsidR="00E50DC2" w:rsidRDefault="00E50DC2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комунікабельність;</w:t>
            </w:r>
          </w:p>
          <w:p w:rsidR="00E50DC2" w:rsidRDefault="00E50DC2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ініціативність;</w:t>
            </w:r>
          </w:p>
          <w:p w:rsidR="00E50DC2" w:rsidRDefault="00676BE8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дисциплінованість</w:t>
            </w:r>
            <w:r w:rsidR="00E50DC2">
              <w:rPr>
                <w:sz w:val="28"/>
                <w:szCs w:val="28"/>
                <w:lang w:val="uk-UA" w:eastAsia="en-US"/>
              </w:rPr>
              <w:t>;</w:t>
            </w:r>
          </w:p>
          <w:p w:rsidR="00E50DC2" w:rsidRDefault="00E50DC2">
            <w:pPr>
              <w:pStyle w:val="1"/>
              <w:spacing w:after="0"/>
              <w:ind w:left="33"/>
              <w:jc w:val="both"/>
              <w:rPr>
                <w:sz w:val="16"/>
                <w:szCs w:val="16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   порядність   </w:t>
            </w:r>
          </w:p>
        </w:tc>
      </w:tr>
      <w:tr w:rsidR="00E50DC2" w:rsidTr="00E50DC2">
        <w:tc>
          <w:tcPr>
            <w:tcW w:w="9889" w:type="dxa"/>
            <w:gridSpan w:val="4"/>
          </w:tcPr>
          <w:p w:rsidR="00B5261D" w:rsidRDefault="00B5261D" w:rsidP="00B5261D">
            <w:pPr>
              <w:tabs>
                <w:tab w:val="left" w:pos="432"/>
                <w:tab w:val="left" w:pos="3656"/>
                <w:tab w:val="center" w:pos="4836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</w:p>
          <w:p w:rsidR="00E50DC2" w:rsidRDefault="00B5261D" w:rsidP="00B5261D">
            <w:pPr>
              <w:tabs>
                <w:tab w:val="left" w:pos="432"/>
                <w:tab w:val="left" w:pos="3656"/>
                <w:tab w:val="center" w:pos="4836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 w:rsidR="00E50D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E50DC2" w:rsidRDefault="00E50DC2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E50DC2" w:rsidTr="00E50DC2">
        <w:tc>
          <w:tcPr>
            <w:tcW w:w="534" w:type="dxa"/>
          </w:tcPr>
          <w:p w:rsidR="00E50DC2" w:rsidRDefault="00E5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hideMark/>
          </w:tcPr>
          <w:p w:rsidR="00E50DC2" w:rsidRDefault="00E50D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520" w:type="dxa"/>
            <w:hideMark/>
          </w:tcPr>
          <w:p w:rsidR="00E50DC2" w:rsidRDefault="00E50DC2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E50DC2" w:rsidRDefault="00E50DC2">
            <w:pPr>
              <w:tabs>
                <w:tab w:val="left" w:pos="432"/>
                <w:tab w:val="left" w:pos="2565"/>
              </w:tabs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E50DC2" w:rsidTr="00E50DC2">
        <w:tc>
          <w:tcPr>
            <w:tcW w:w="534" w:type="dxa"/>
            <w:hideMark/>
          </w:tcPr>
          <w:p w:rsidR="00E50DC2" w:rsidRDefault="00E5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E50DC2" w:rsidRDefault="00E50D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520" w:type="dxa"/>
          </w:tcPr>
          <w:p w:rsidR="00E50DC2" w:rsidRDefault="00E50DC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</w:p>
          <w:p w:rsidR="00E50DC2" w:rsidRDefault="00E50DC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E50DC2" w:rsidRDefault="00E50DC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службу»,</w:t>
            </w:r>
          </w:p>
          <w:p w:rsidR="00E50DC2" w:rsidRDefault="00E50DC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</w:p>
          <w:p w:rsidR="00E50DC2" w:rsidRDefault="00E50DC2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E50DC2" w:rsidRPr="006E618B" w:rsidTr="00E50DC2">
        <w:tc>
          <w:tcPr>
            <w:tcW w:w="534" w:type="dxa"/>
          </w:tcPr>
          <w:p w:rsidR="00E50DC2" w:rsidRDefault="00E5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E50DC2" w:rsidRDefault="00E5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0DC2" w:rsidRDefault="00E5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0DC2" w:rsidRDefault="00E5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0DC2" w:rsidRDefault="00E5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0DC2" w:rsidRDefault="00E5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0DC2" w:rsidRDefault="00E5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0DC2" w:rsidRDefault="00E5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0DC2" w:rsidRDefault="00E5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0DC2" w:rsidRDefault="00E5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0DC2" w:rsidRDefault="00E5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0DC2" w:rsidRDefault="00E5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0DC2" w:rsidRDefault="00E5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E50DC2" w:rsidRDefault="00E50D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E50DC2" w:rsidRDefault="00E50D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hideMark/>
          </w:tcPr>
          <w:p w:rsidR="00E50DC2" w:rsidRDefault="00E50DC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E50DC2" w:rsidRDefault="00E50DC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законів України:</w:t>
            </w:r>
          </w:p>
          <w:p w:rsidR="00E50DC2" w:rsidRDefault="00E50DC2" w:rsidP="00742FB3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«Про столицю України – місто-герой Київ»,</w:t>
            </w:r>
          </w:p>
          <w:p w:rsidR="00E50DC2" w:rsidRDefault="00676BE8" w:rsidP="00742FB3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«Про благоустрій населених пунктів</w:t>
            </w:r>
            <w:r w:rsidR="00E50D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2433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243375" w:rsidRPr="00243375" w:rsidRDefault="00243375" w:rsidP="00742FB3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4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про порядок підготовки спортивних споруд та інших спеціально відведених місць для проведення масових спортивних та культурно-видовищних заходів, затвердженого постановою Кабінету Міністрів України від 18 грудня 1998 року № 2025;</w:t>
            </w:r>
          </w:p>
          <w:p w:rsidR="00243375" w:rsidRDefault="00243375" w:rsidP="00742FB3">
            <w:pPr>
              <w:pStyle w:val="1"/>
              <w:spacing w:after="0"/>
              <w:ind w:firstLine="317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Порядку організації та проведення недержавних масових заходів релігійного, культурно-просвітницького, спортивного, видовищного та іншого характеру</w:t>
            </w:r>
            <w:r w:rsidR="00B5261D">
              <w:rPr>
                <w:sz w:val="28"/>
                <w:szCs w:val="28"/>
                <w:lang w:val="uk-UA" w:eastAsia="en-US"/>
              </w:rPr>
              <w:t xml:space="preserve"> в місті Києві</w:t>
            </w:r>
            <w:r>
              <w:rPr>
                <w:sz w:val="28"/>
                <w:szCs w:val="28"/>
                <w:lang w:val="uk-UA" w:eastAsia="en-US"/>
              </w:rPr>
              <w:t>, затвердженого рішенням Київської міської ради від 19 грудня 2019 року № 470/8043;</w:t>
            </w:r>
          </w:p>
          <w:p w:rsidR="00243375" w:rsidRDefault="00243375" w:rsidP="00B5261D">
            <w:pPr>
              <w:pStyle w:val="1"/>
              <w:spacing w:after="0"/>
              <w:ind w:firstLine="243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Правил благоустрою міста Києва, затверджених рішенням Київської міської ради від </w:t>
            </w:r>
            <w:r w:rsidR="00B5261D">
              <w:rPr>
                <w:sz w:val="28"/>
                <w:szCs w:val="28"/>
                <w:lang w:val="uk-UA" w:eastAsia="en-US"/>
              </w:rPr>
              <w:t>25 грудня 2008 року № 1051/1051.</w:t>
            </w:r>
          </w:p>
        </w:tc>
      </w:tr>
    </w:tbl>
    <w:p w:rsidR="00B5261D" w:rsidRDefault="00B5261D" w:rsidP="00E50D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500D" w:rsidRDefault="00E50DC2">
      <w:r>
        <w:rPr>
          <w:rFonts w:ascii="Times New Roman" w:hAnsi="Times New Roman" w:cs="Times New Roman"/>
          <w:sz w:val="28"/>
          <w:szCs w:val="28"/>
          <w:lang w:val="uk-UA"/>
        </w:rPr>
        <w:t>Заступник керівника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Євген СИТНІЧЕНКО</w:t>
      </w:r>
    </w:p>
    <w:sectPr w:rsidR="0003500D" w:rsidSect="00B5261D">
      <w:pgSz w:w="11906" w:h="16838"/>
      <w:pgMar w:top="851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4AAF6685"/>
    <w:multiLevelType w:val="hybridMultilevel"/>
    <w:tmpl w:val="9FB0A7B6"/>
    <w:lvl w:ilvl="0" w:tplc="94565058">
      <w:start w:val="1"/>
      <w:numFmt w:val="decimal"/>
      <w:lvlText w:val="%1)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">
    <w:nsid w:val="66784F81"/>
    <w:multiLevelType w:val="hybridMultilevel"/>
    <w:tmpl w:val="9128552C"/>
    <w:lvl w:ilvl="0" w:tplc="50961BB6">
      <w:start w:val="1"/>
      <w:numFmt w:val="decimal"/>
      <w:lvlText w:val="%1)"/>
      <w:lvlJc w:val="left"/>
      <w:pPr>
        <w:ind w:left="963" w:hanging="64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F7"/>
    <w:rsid w:val="00014924"/>
    <w:rsid w:val="0003500D"/>
    <w:rsid w:val="00243375"/>
    <w:rsid w:val="004B214C"/>
    <w:rsid w:val="00676BE8"/>
    <w:rsid w:val="006E618B"/>
    <w:rsid w:val="00742FB3"/>
    <w:rsid w:val="00786506"/>
    <w:rsid w:val="00B5261D"/>
    <w:rsid w:val="00E203F7"/>
    <w:rsid w:val="00E50DC2"/>
    <w:rsid w:val="00FB0787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50D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0D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E5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rsid w:val="00E50DC2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customStyle="1" w:styleId="FontStyle11">
    <w:name w:val="Font Style11"/>
    <w:basedOn w:val="a0"/>
    <w:rsid w:val="00E50DC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E50D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50D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0D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E5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rsid w:val="00E50DC2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customStyle="1" w:styleId="FontStyle11">
    <w:name w:val="Font Style11"/>
    <w:basedOn w:val="a0"/>
    <w:rsid w:val="00E50DC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E50D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2020-01-28T10:43:00Z</cp:lastPrinted>
  <dcterms:created xsi:type="dcterms:W3CDTF">2020-01-28T08:55:00Z</dcterms:created>
  <dcterms:modified xsi:type="dcterms:W3CDTF">2020-02-03T14:55:00Z</dcterms:modified>
</cp:coreProperties>
</file>