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CEF" w:rsidRPr="002E6E68" w:rsidRDefault="00BE5CEF" w:rsidP="00BE5CE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uk-UA"/>
        </w:rPr>
      </w:pPr>
      <w:r w:rsidRPr="002E6E68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РЕЗЮМЕ </w:t>
      </w:r>
      <w:r w:rsidRPr="002E6E68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uk-UA"/>
        </w:rPr>
        <w:t>С</w:t>
      </w:r>
      <w:bookmarkStart w:id="0" w:name="_GoBack"/>
      <w:bookmarkEnd w:id="0"/>
      <w:r w:rsidRPr="002E6E68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uk-UA"/>
        </w:rPr>
        <w:t>ЕМІНАРУ</w:t>
      </w:r>
    </w:p>
    <w:p w:rsidR="00BE5CEF" w:rsidRPr="008E7833" w:rsidRDefault="00BE5CEF" w:rsidP="00BE5CE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uk-UA"/>
        </w:rPr>
      </w:pPr>
    </w:p>
    <w:p w:rsidR="00BE5CEF" w:rsidRPr="002E6E68" w:rsidRDefault="00BE5CEF" w:rsidP="00BE5CE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</w:pPr>
      <w:r w:rsidRPr="002E6E68">
        <w:rPr>
          <w:rFonts w:ascii="Arial" w:hAnsi="Arial" w:cs="Arial"/>
          <w:color w:val="222222"/>
          <w:sz w:val="28"/>
          <w:szCs w:val="28"/>
          <w:shd w:val="clear" w:color="auto" w:fill="FFFFFF"/>
          <w:lang w:val="uk-UA"/>
        </w:rPr>
        <w:t xml:space="preserve">ПЛАН ДІЙ «ЗЕЛЕНЕ МІСТО» ДЛЯ МІСТА КИЄВА. </w:t>
      </w:r>
    </w:p>
    <w:p w:rsidR="00BE5CEF" w:rsidRPr="00132CBA" w:rsidRDefault="00BE5CEF" w:rsidP="00BE5CE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uk-UA"/>
        </w:rPr>
      </w:pPr>
      <w:r w:rsidRPr="00132CBA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uk-UA"/>
        </w:rPr>
        <w:t>Семінар - консультація з зацікавленими сторонами № 2: Базова лінія зеленого міста - Екологічні виклики та пріоритети</w:t>
      </w:r>
    </w:p>
    <w:p w:rsidR="00BE5CEF" w:rsidRPr="008E7833" w:rsidRDefault="00BE5CEF" w:rsidP="00BE5CE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</w:p>
    <w:p w:rsidR="00BE5CEF" w:rsidRPr="008E7833" w:rsidRDefault="00BE5CEF" w:rsidP="00BE5CE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  <w:r w:rsidRPr="0037755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Дата: 17 </w:t>
      </w:r>
      <w:r w:rsidRPr="0037755F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uk-UA"/>
        </w:rPr>
        <w:t xml:space="preserve">березня </w:t>
      </w:r>
      <w:r w:rsidRPr="0037755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2021 р</w:t>
      </w:r>
      <w:r w:rsidRPr="00157494">
        <w:rPr>
          <w:rFonts w:ascii="Arial" w:hAnsi="Arial" w:cs="Arial"/>
          <w:color w:val="222222"/>
          <w:sz w:val="20"/>
          <w:szCs w:val="20"/>
          <w:shd w:val="clear" w:color="auto" w:fill="FFFFFF"/>
        </w:rPr>
        <w:t>., 13:00 - 16:00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. Онлайн,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ZOOM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. </w:t>
      </w:r>
    </w:p>
    <w:p w:rsidR="00BE5CEF" w:rsidRPr="00157494" w:rsidRDefault="00BE5CEF" w:rsidP="00BE5CE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BE5CEF" w:rsidRPr="00F626E0" w:rsidRDefault="00BE5CEF" w:rsidP="00BE5CEF">
      <w:p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  <w:r w:rsidRPr="00F626E0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uk-UA"/>
        </w:rPr>
        <w:t>Ідея семінару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. На всіх етапах процес розробки ПДЗМ передбачає активну взаємодію з усіма міськими зацікавленими сторонами, включаючи ключових зацікавлених сторін міської адміністрації та відповідних комунальних підприємств, а також міської експ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е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ртної спільноти, як то відповідні державні установи та організації, бізнес та професійні асоціації, освітні заклади та дослідницькі установи, організації громадянського суспільства.</w:t>
      </w:r>
    </w:p>
    <w:p w:rsidR="00BE5CEF" w:rsidRPr="00F626E0" w:rsidRDefault="00BE5CEF" w:rsidP="00BE5CEF">
      <w:p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На е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тап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і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встановлення базової лінії 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зеленого міста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окреслено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поточні екологічні показники та визнач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ено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низку пріоритетних екологічних проблем, які будуть виріш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уватись шляхом 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впровадження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Плану дій «Зелене місто»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. Щоб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забезпечити відповідність визначених викликів інтересам місцевої громади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, п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отрібні консультації із зацікавленими сторонами.</w:t>
      </w:r>
    </w:p>
    <w:p w:rsidR="00BE5CEF" w:rsidRPr="00F626E0" w:rsidRDefault="00BE5CEF" w:rsidP="00BE5CEF">
      <w:p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Семінар-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консультація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з представниками різних груп місцевої громади дає можливість публічно представити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експертні 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висновки та результати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,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отримані 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відповідно до методології, що базується на фактичних даних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, 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о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держати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зворотній зв'язок та пропозиції від зацікавлених сторін та узгодити спільне бачення пріоритетів з метою визнач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ення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відповідн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их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заходів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для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Плану дій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.</w:t>
      </w:r>
    </w:p>
    <w:p w:rsidR="00BE5CEF" w:rsidRPr="00F626E0" w:rsidRDefault="00BE5CEF" w:rsidP="00BE5CE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  <w:r w:rsidRPr="00BC7F4D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uk-UA"/>
        </w:rPr>
        <w:t>Цілі семінару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: Презентація результатів технічної оцінки та оцінки екологічних проблем широкому колу зацікавлених сторін, представник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ам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спільноти експертів; підтвердження ключових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викликів 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"Зеленого міста" та узгодження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визначених 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пріоритетів; та заохочення зацікавлених сторін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до 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подальшо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ї активної участі 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у розроб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ленні ПДЗМ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на наступних етапах.</w:t>
      </w:r>
    </w:p>
    <w:p w:rsidR="00BE5CEF" w:rsidRPr="00F626E0" w:rsidRDefault="00BE5CEF" w:rsidP="00BE5CEF">
      <w:p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  <w:r w:rsidRPr="00BC7F4D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uk-UA"/>
        </w:rPr>
        <w:t>Очікувані результати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: спільне бачення викликів Зеленого міста усіма зацікавленими сторонами; визначені пріоритетні ключові проблеми та можливі прогалини, відсутні на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разі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в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проведеному 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аналізі. Зацікавлені сторони демонструють прихильність ідеям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зеленого міста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та готові брати участь у подальш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ій розробці Плану дій 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та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його 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реалізації.</w:t>
      </w:r>
    </w:p>
    <w:p w:rsidR="00BE5CEF" w:rsidRDefault="00BE5CEF" w:rsidP="00BE5CEF">
      <w:p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  <w:r w:rsidRPr="00BC7F4D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uk-UA"/>
        </w:rPr>
        <w:t>Структура семінару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.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Ідея семінару стосувалася отримання відгуків від широкого кола зацікавлених сторін щодо результатів технічної оцінки та коментарів та пропозицій для розгляду на наступних етапах розробки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ПДЗМ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(зокрема, узгодження ключових екологічних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викликів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та їх пріоритет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ності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). Враховуючи обмеження подій в умовах пандемії, семінар був організований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онлайн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, але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для забезпечення конструктивної комунікації з учасниками 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програма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заходу передбачала 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різні методи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роботи як то 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презентаці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я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, модерован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і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дискусі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ї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, груп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ове обговорення </w:t>
      </w:r>
      <w:r w:rsidRPr="00F626E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та інтерактивне опитування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. </w:t>
      </w:r>
    </w:p>
    <w:p w:rsidR="00BE5CEF" w:rsidRPr="00F82F6F" w:rsidRDefault="00BE5CEF" w:rsidP="00BE5CEF">
      <w:p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Реєстраційна форма </w:t>
      </w:r>
      <w:proofErr w:type="spellStart"/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Google</w:t>
      </w:r>
      <w:proofErr w:type="spellEnd"/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дозволила запрошеним обрати групу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за фаховим інтересом 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для активного обговорення представлених результатів та надання своїх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коментарів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Були запропоновані наступні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груп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и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Довкілля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(включаючи якість повітря, викиди парникових газів),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З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емлекористування (включаючи зелені зони),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В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ода,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Т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ранспорт,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П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оводження з відходами,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Е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нергетика (в </w:t>
      </w:r>
      <w:proofErr w:type="spellStart"/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т.ч</w:t>
      </w:r>
      <w:proofErr w:type="spellEnd"/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промисловість та будівлі).</w:t>
      </w:r>
    </w:p>
    <w:p w:rsidR="00BE5CEF" w:rsidRPr="00F82F6F" w:rsidRDefault="00BE5CEF" w:rsidP="00BE5CEF">
      <w:p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  <w:r w:rsidRPr="0040776A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uk-UA"/>
        </w:rPr>
        <w:t>Список запрошених / учасників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. Члени робочої групи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з розробки Плану дій «Зелене місто» для мста Києва 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та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представники 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інших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структурних підрозділів КМДА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, комунальних підприємств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та компаній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, що представляють галузеві інтереси (відходи, вода, енергетика, промисловість, ст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алий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транспорт, сталий розвиток міст; навколишнє середовище та кліматичні зміни тощо), громадські організації , представники місцевої експертної спільноти (університети та науково-дослідні установи, міжнародні організації, що проводять подібну роботу в місті),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медіа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, організації підтримки бізнесу (ТПП, ЄБА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тощо) 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були розглянуті для запрошення. Список запрошених був погоджений з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робочою групою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. Електронною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поштою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було запрошено понад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115 організацій. Індивідуальні листи із запрошенням та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довідкові 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матеріали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проведеної оцінки 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були розіслані зареєстровани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м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у формі </w:t>
      </w:r>
      <w:proofErr w:type="spellStart"/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Google</w:t>
      </w:r>
      <w:proofErr w:type="spellEnd"/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Розсилка запрошень супроводжувалась телефонним дзвінком для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підтвердження 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lastRenderedPageBreak/>
        <w:t>отримання запрошень. Зареєстровано 123 учасника; 70 з них - жінки, 53 - чоловіки. 106 осіб взяли участь в онлайн-семінарі.</w:t>
      </w:r>
    </w:p>
    <w:p w:rsidR="00BE5CEF" w:rsidRPr="00F82F6F" w:rsidRDefault="00BE5CEF" w:rsidP="00BE5CEF">
      <w:p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Учасники представляли такі групи: 14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–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департаменти та управління КМДА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, 30 - комунальні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підприємства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, що надають відповідні послуги у сфері водопостачання,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поводження з 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відход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ами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, енергетики, транспорту, зелених насаджень, використання земель та містобудування, 24 - освітні та науково-дослідні установи та державні установи, 27 -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ГО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та професійні асоціації, 10 - міжнародні проекти та бізнес, 11 представників групи консультант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а компанії 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Аткінс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та 7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–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представники 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ЄБРР.</w:t>
      </w:r>
    </w:p>
    <w:p w:rsidR="00BE5CEF" w:rsidRPr="00F82F6F" w:rsidRDefault="00BE5CEF" w:rsidP="00BE5CEF">
      <w:p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Довідкова інформація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з технічної оцінки була заздалегідь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поширена серед 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учасник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ів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для забезпечення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змістовн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их консультацій. Матеріали презентації були поширені серед учасників після заходу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: всі мали можливість 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надати відповідні письмові коментарі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та пропозиції для урахування 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на наступних етапах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розробки ПДЗМ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.</w:t>
      </w:r>
    </w:p>
    <w:p w:rsidR="00BE5CEF" w:rsidRPr="00F626E0" w:rsidRDefault="00BE5CEF" w:rsidP="00BE5CEF">
      <w:p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  <w:r w:rsidRPr="00290CDA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uk-UA"/>
        </w:rPr>
        <w:t>ЗАГАЛЬНИЙ ВІДГУК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. Активна участь у семінарі продемонструвала високий інтерес місцевої експертної спільноти до екологічних проблем у місті Києві. Атмосфера на семінарі була конструктивною та позитивною; учасники погодились із висновками Команди консультанта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в цілому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. Конкретні зауваження, занепокоєння та галузеві пропозиції активно обговорювались у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робочих групах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та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були 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узагальн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ені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під час підсумкової спільної 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сесії. Учасники продемонстрували зацікавленість у залученні на наступних етапах розробки GCAP та запитали, чи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таке залучення передбачається у 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подальш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ому</w:t>
      </w:r>
      <w:r w:rsidRPr="00F82F6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.</w:t>
      </w:r>
    </w:p>
    <w:p w:rsidR="00BE5CEF" w:rsidRDefault="00BE5CEF" w:rsidP="00BE5CE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</w:p>
    <w:p w:rsidR="00BE5CEF" w:rsidRPr="00BA7D60" w:rsidRDefault="00BE5CEF" w:rsidP="00BE5CE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uk-UA"/>
        </w:rPr>
      </w:pPr>
      <w:r w:rsidRPr="00BA7D60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uk-UA"/>
        </w:rPr>
        <w:t>ОСНОВНІ РЕЗУЛЬТАТИ СЕМІНАРУ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uk-UA"/>
        </w:rPr>
        <w:t xml:space="preserve"> </w:t>
      </w:r>
      <w:r w:rsidRPr="00BA7D60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uk-UA"/>
        </w:rPr>
        <w:t>-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uk-UA"/>
        </w:rPr>
        <w:t xml:space="preserve"> </w:t>
      </w:r>
      <w:r w:rsidRPr="00BA7D60">
        <w:rPr>
          <w:rFonts w:ascii="Arial" w:hAnsi="Arial" w:cs="Arial"/>
          <w:b/>
          <w:color w:val="222222"/>
          <w:sz w:val="20"/>
          <w:szCs w:val="20"/>
          <w:shd w:val="clear" w:color="auto" w:fill="FFFFFF"/>
          <w:lang w:val="uk-UA"/>
        </w:rPr>
        <w:t>КОНСУЛЬТАЦІЇ:</w:t>
      </w:r>
    </w:p>
    <w:p w:rsidR="00BE5CEF" w:rsidRPr="00F626E0" w:rsidRDefault="00BE5CEF" w:rsidP="00BE5CEF">
      <w:p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</w:p>
    <w:p w:rsidR="00BE5CEF" w:rsidRPr="00BA7D60" w:rsidRDefault="00BE5CEF" w:rsidP="00BE5CEF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ind w:left="714" w:hanging="357"/>
        <w:contextualSpacing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Результати технічної оцінки та виявлення екологічних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викликів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були представлені широкому колу зацікавлених сторін з різних груп інтересів, включаючи міську владу, бізнес,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науку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та освіту та організації громадянського суспільства. Визначені пріоритетні виклики були узгоджені, а місцеве експертне товариство підтвердило спільне бачення необхідності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Плану дій «Зелене місто» 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та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його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можливостей.</w:t>
      </w:r>
    </w:p>
    <w:p w:rsidR="00BE5CEF" w:rsidRPr="00BA7D60" w:rsidRDefault="00BE5CEF" w:rsidP="00BE5CEF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ind w:left="714" w:hanging="357"/>
        <w:contextualSpacing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Учасники підтвердили, що проблеми, визначені у Звітах, є життєво важливими для міста Києва.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Р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яд коментарів та пропозицій було передано Консультанту під час та після заходу, як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і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буде розглянуто в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ПДЗМ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на наступному етапі. Узагальнені висновки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обговорень 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галузевих груп та коментарі, отримані після семінару,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в цілому 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узгоджуються з визначенням ключових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викликів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міста.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Експрес о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питування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щодо 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ключових пріоритетів під час семінару здебільшого підтвердило результати технічної оцінки, проведеної відповідно до єдиної методології ЄБРР.</w:t>
      </w:r>
    </w:p>
    <w:p w:rsidR="00BE5CEF" w:rsidRPr="00BA7D60" w:rsidRDefault="00BE5CEF" w:rsidP="00BE5CEF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ind w:left="714" w:hanging="357"/>
        <w:contextualSpacing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Забруднення повітря, викиди парникових газів, якість водних ресурсів та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життє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стійкість (адаптація до змін клімату) визнані головними пріоритетними викликами для міста Києва поряд з іншими важливими галузевими проблемами, що вимагають негайного втручання (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такі як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поводження з відходами,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управління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зеленими зонами, ефективність споживання енергії тощо).</w:t>
      </w:r>
    </w:p>
    <w:p w:rsidR="00BE5CEF" w:rsidRPr="00BA7D60" w:rsidRDefault="00BE5CEF" w:rsidP="00BE5CEF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ind w:left="714" w:hanging="357"/>
        <w:contextualSpacing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Усі учасники погодились, що доступність та якість вхідних даних надзвичайно важливі для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забезпечення 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надійності визначених дій. Відсутність надійних даних у багатьох секторах національної статистики може ускладнити розробку відповідних варіантів та моніторинг прогресу реалізованих заходів. Ц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я проблема 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має бути відображено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ю та вирішеною 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у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відповідній 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політиці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міста 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щодо управління даними.</w:t>
      </w:r>
    </w:p>
    <w:p w:rsidR="00BE5CEF" w:rsidRPr="00BA7D60" w:rsidRDefault="00BE5CEF" w:rsidP="00BE5CEF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ind w:left="714" w:hanging="357"/>
        <w:contextualSpacing w:val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</w:pP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Отримано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конкретні 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рекомендаці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ї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від зацікавлених сторін щодо можливих дій, які будуть розглянуті в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ПДЗМ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 xml:space="preserve"> (щодо якості повітря, зелених зон,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життє</w:t>
      </w:r>
      <w:r w:rsidRPr="00BA7D60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стійкості міста, поводження з відходами, транспортних рішень, систематичних заходів з підвищення обізнаності місцевого населення тощо).</w:t>
      </w:r>
    </w:p>
    <w:p w:rsidR="004F4655" w:rsidRPr="00BE5CEF" w:rsidRDefault="00BE5CEF" w:rsidP="00BE5CEF">
      <w:pPr>
        <w:pStyle w:val="a3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 w:line="264" w:lineRule="auto"/>
        <w:ind w:left="714" w:hanging="357"/>
        <w:contextualSpacing w:val="0"/>
        <w:jc w:val="both"/>
        <w:rPr>
          <w:lang w:val="uk-UA"/>
        </w:rPr>
      </w:pPr>
      <w:r w:rsidRPr="00BE5CEF">
        <w:rPr>
          <w:rFonts w:ascii="Arial" w:hAnsi="Arial" w:cs="Arial"/>
          <w:color w:val="222222"/>
          <w:sz w:val="20"/>
          <w:szCs w:val="20"/>
          <w:shd w:val="clear" w:color="auto" w:fill="FFFFFF"/>
          <w:lang w:val="uk-UA"/>
        </w:rPr>
        <w:t>Зацікавлені сторони активно продемонстрували свою прихильність зеленому місту та висловили бажання брати участь у подальших семінарах із залучення та зробити свій внесок у ПДЗМ для міста Києва. Домовились, що зацікавлені сторони будуть запрошені на наступні консультаційні сесії (перелік контактів із зацікавленими сторонами розширено після семінару, що уможливлює залучення до консультацій на наступному етапі).</w:t>
      </w:r>
    </w:p>
    <w:sectPr w:rsidR="004F4655" w:rsidRPr="00BE5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1CBD"/>
    <w:multiLevelType w:val="hybridMultilevel"/>
    <w:tmpl w:val="4A4EFBA8"/>
    <w:lvl w:ilvl="0" w:tplc="2000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CEF"/>
    <w:rsid w:val="00BD07B9"/>
    <w:rsid w:val="00BE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3AC76-502B-4D36-BE1D-4FB7F89F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CE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2021-04-01T11:47:00Z</dcterms:created>
  <dcterms:modified xsi:type="dcterms:W3CDTF">2021-04-01T11:48:00Z</dcterms:modified>
</cp:coreProperties>
</file>