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2A5B01">
        <w:rPr>
          <w:rFonts w:ascii="Times New Roman" w:hAnsi="Times New Roman" w:cs="Times New Roman"/>
          <w:b/>
          <w:sz w:val="24"/>
          <w:szCs w:val="24"/>
          <w:lang w:val="uk-UA"/>
        </w:rPr>
        <w:t>Дарницького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7"/>
        <w:gridCol w:w="6421"/>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Найменування</w:t>
            </w:r>
            <w:proofErr w:type="spellEnd"/>
            <w:r w:rsidRPr="009D7A70">
              <w:rPr>
                <w:rFonts w:ascii="Times New Roman" w:hAnsi="Times New Roman" w:cs="Times New Roman"/>
                <w:b/>
                <w:sz w:val="24"/>
                <w:szCs w:val="24"/>
              </w:rPr>
              <w:t xml:space="preserve"> </w:t>
            </w:r>
          </w:p>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Default="00710EE0" w:rsidP="002A5B01">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2A5B01">
              <w:rPr>
                <w:rFonts w:ascii="Times New Roman" w:hAnsi="Times New Roman" w:cs="Times New Roman"/>
                <w:sz w:val="24"/>
                <w:szCs w:val="24"/>
                <w:lang w:val="uk-UA"/>
              </w:rPr>
              <w:t>Дарницьког</w:t>
            </w:r>
            <w:r w:rsidR="00327FC4" w:rsidRPr="00327FC4">
              <w:rPr>
                <w:rFonts w:ascii="Times New Roman" w:hAnsi="Times New Roman" w:cs="Times New Roman"/>
                <w:sz w:val="24"/>
                <w:szCs w:val="24"/>
                <w:lang w:val="uk-UA"/>
              </w:rPr>
              <w:t>о</w:t>
            </w:r>
            <w:r w:rsidRPr="00327FC4">
              <w:rPr>
                <w:rFonts w:ascii="Times New Roman" w:hAnsi="Times New Roman" w:cs="Times New Roman"/>
                <w:sz w:val="24"/>
                <w:szCs w:val="24"/>
                <w:lang w:val="uk-UA"/>
              </w:rPr>
              <w:t xml:space="preserve"> району</w:t>
            </w:r>
            <w:r w:rsidRPr="00710EE0">
              <w:rPr>
                <w:rFonts w:ascii="Times New Roman" w:hAnsi="Times New Roman" w:cs="Times New Roman"/>
                <w:sz w:val="24"/>
                <w:szCs w:val="24"/>
                <w:lang w:val="uk-UA"/>
              </w:rPr>
              <w:t>»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2A5B01" w:rsidP="00785B5F">
            <w:pPr>
              <w:rPr>
                <w:rFonts w:ascii="Times New Roman" w:hAnsi="Times New Roman" w:cs="Times New Roman"/>
                <w:sz w:val="24"/>
                <w:szCs w:val="24"/>
              </w:rPr>
            </w:pPr>
            <w:r w:rsidRPr="002A5B01">
              <w:rPr>
                <w:rFonts w:ascii="Times New Roman" w:hAnsi="Times New Roman" w:cs="Times New Roman"/>
                <w:sz w:val="24"/>
                <w:szCs w:val="24"/>
                <w:lang w:val="uk-UA"/>
              </w:rPr>
              <w:t>31722818</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2A5B01" w:rsidRDefault="002B6817" w:rsidP="00785B5F">
            <w:pPr>
              <w:rPr>
                <w:rFonts w:ascii="Times New Roman" w:hAnsi="Times New Roman" w:cs="Times New Roman"/>
                <w:b/>
                <w:sz w:val="24"/>
                <w:szCs w:val="24"/>
                <w:lang w:val="uk-UA"/>
              </w:rPr>
            </w:pPr>
            <w:proofErr w:type="spellStart"/>
            <w:r w:rsidRPr="009D7A70">
              <w:rPr>
                <w:rFonts w:ascii="Times New Roman" w:hAnsi="Times New Roman" w:cs="Times New Roman"/>
                <w:b/>
                <w:sz w:val="24"/>
                <w:szCs w:val="24"/>
              </w:rPr>
              <w:t>Юридичне</w:t>
            </w:r>
            <w:proofErr w:type="spellEnd"/>
            <w:r w:rsidRPr="009D7A70">
              <w:rPr>
                <w:rFonts w:ascii="Times New Roman" w:hAnsi="Times New Roman" w:cs="Times New Roman"/>
                <w:b/>
                <w:sz w:val="24"/>
                <w:szCs w:val="24"/>
              </w:rPr>
              <w:t xml:space="preserve"> </w:t>
            </w:r>
            <w:r w:rsidR="002A5B01">
              <w:rPr>
                <w:rFonts w:ascii="Times New Roman" w:hAnsi="Times New Roman" w:cs="Times New Roman"/>
                <w:b/>
                <w:sz w:val="24"/>
                <w:szCs w:val="24"/>
                <w:lang w:val="uk-UA"/>
              </w:rPr>
              <w:t>адреса</w:t>
            </w:r>
          </w:p>
          <w:p w:rsidR="002A5B01" w:rsidRDefault="002A5B01" w:rsidP="002A5B01">
            <w:pPr>
              <w:rPr>
                <w:rFonts w:ascii="Times New Roman" w:hAnsi="Times New Roman" w:cs="Times New Roman"/>
                <w:b/>
                <w:sz w:val="24"/>
                <w:szCs w:val="24"/>
                <w:lang w:val="uk-UA"/>
              </w:rPr>
            </w:pPr>
          </w:p>
          <w:p w:rsidR="005A6B28" w:rsidRDefault="002A5B01" w:rsidP="002A5B01">
            <w:pPr>
              <w:rPr>
                <w:rFonts w:ascii="Times New Roman" w:hAnsi="Times New Roman" w:cs="Times New Roman"/>
                <w:b/>
                <w:sz w:val="24"/>
                <w:szCs w:val="24"/>
              </w:rPr>
            </w:pPr>
            <w:r>
              <w:rPr>
                <w:rFonts w:ascii="Times New Roman" w:hAnsi="Times New Roman" w:cs="Times New Roman"/>
                <w:b/>
                <w:sz w:val="24"/>
                <w:szCs w:val="24"/>
                <w:lang w:val="uk-UA"/>
              </w:rPr>
              <w:t xml:space="preserve">Адреса </w:t>
            </w:r>
            <w:proofErr w:type="spellStart"/>
            <w:r w:rsidR="002B6817" w:rsidRPr="009D7A70">
              <w:rPr>
                <w:rFonts w:ascii="Times New Roman" w:hAnsi="Times New Roman" w:cs="Times New Roman"/>
                <w:b/>
                <w:sz w:val="24"/>
                <w:szCs w:val="24"/>
              </w:rPr>
              <w:t>фактичн</w:t>
            </w:r>
            <w:proofErr w:type="spellEnd"/>
            <w:r>
              <w:rPr>
                <w:rFonts w:ascii="Times New Roman" w:hAnsi="Times New Roman" w:cs="Times New Roman"/>
                <w:b/>
                <w:sz w:val="24"/>
                <w:szCs w:val="24"/>
                <w:lang w:val="uk-UA"/>
              </w:rPr>
              <w:t>ого</w:t>
            </w:r>
            <w:r w:rsidR="002B6817" w:rsidRPr="009D7A70">
              <w:rPr>
                <w:rFonts w:ascii="Times New Roman" w:hAnsi="Times New Roman" w:cs="Times New Roman"/>
                <w:b/>
                <w:sz w:val="24"/>
                <w:szCs w:val="24"/>
              </w:rPr>
              <w:t xml:space="preserve"> </w:t>
            </w:r>
            <w:proofErr w:type="spellStart"/>
            <w:r w:rsidR="002B6817" w:rsidRPr="009D7A70">
              <w:rPr>
                <w:rFonts w:ascii="Times New Roman" w:hAnsi="Times New Roman" w:cs="Times New Roman"/>
                <w:b/>
                <w:sz w:val="24"/>
                <w:szCs w:val="24"/>
              </w:rPr>
              <w:t>місцезнаходження</w:t>
            </w:r>
            <w:proofErr w:type="spellEnd"/>
          </w:p>
          <w:p w:rsidR="002A5B01" w:rsidRPr="009D7A70" w:rsidRDefault="002A5B01" w:rsidP="002A5B01">
            <w:pPr>
              <w:rPr>
                <w:rFonts w:ascii="Times New Roman" w:hAnsi="Times New Roman" w:cs="Times New Roman"/>
                <w:b/>
                <w:sz w:val="24"/>
                <w:szCs w:val="24"/>
              </w:rPr>
            </w:pPr>
          </w:p>
        </w:tc>
        <w:tc>
          <w:tcPr>
            <w:tcW w:w="7479" w:type="dxa"/>
            <w:gridSpan w:val="2"/>
          </w:tcPr>
          <w:p w:rsidR="00586A49" w:rsidRPr="00586A49" w:rsidRDefault="00586A49" w:rsidP="00785B5F">
            <w:pPr>
              <w:rPr>
                <w:rFonts w:ascii="Times New Roman" w:hAnsi="Times New Roman" w:cs="Times New Roman"/>
                <w:sz w:val="24"/>
                <w:szCs w:val="24"/>
              </w:rPr>
            </w:pPr>
            <w:proofErr w:type="spellStart"/>
            <w:r w:rsidRPr="00586A49">
              <w:rPr>
                <w:rFonts w:ascii="Times New Roman" w:hAnsi="Times New Roman" w:cs="Times New Roman"/>
                <w:sz w:val="24"/>
                <w:szCs w:val="24"/>
              </w:rPr>
              <w:t>вул</w:t>
            </w:r>
            <w:proofErr w:type="spellEnd"/>
            <w:r w:rsidRPr="00586A49">
              <w:rPr>
                <w:rFonts w:ascii="Times New Roman" w:hAnsi="Times New Roman" w:cs="Times New Roman"/>
                <w:sz w:val="24"/>
                <w:szCs w:val="24"/>
              </w:rPr>
              <w:t xml:space="preserve">. </w:t>
            </w:r>
            <w:r w:rsidR="00710EE0" w:rsidRPr="00710EE0">
              <w:rPr>
                <w:rFonts w:ascii="Times New Roman" w:hAnsi="Times New Roman" w:cs="Times New Roman"/>
                <w:sz w:val="24"/>
                <w:szCs w:val="24"/>
                <w:lang w:val="uk-UA"/>
              </w:rPr>
              <w:t>.</w:t>
            </w:r>
            <w:r w:rsidR="00327FC4">
              <w:rPr>
                <w:rFonts w:ascii="Times New Roman" w:hAnsi="Times New Roman" w:cs="Times New Roman"/>
                <w:sz w:val="24"/>
                <w:szCs w:val="24"/>
                <w:lang w:val="uk-UA"/>
              </w:rPr>
              <w:t>Народного ополчення</w:t>
            </w:r>
            <w:r w:rsidR="00B65DB9">
              <w:rPr>
                <w:rFonts w:ascii="Times New Roman" w:hAnsi="Times New Roman" w:cs="Times New Roman"/>
                <w:sz w:val="24"/>
                <w:szCs w:val="24"/>
                <w:lang w:val="uk-UA"/>
              </w:rPr>
              <w:t xml:space="preserve">, </w:t>
            </w:r>
            <w:r w:rsidR="00270D6D">
              <w:rPr>
                <w:rFonts w:ascii="Times New Roman" w:hAnsi="Times New Roman" w:cs="Times New Roman"/>
                <w:sz w:val="24"/>
                <w:szCs w:val="24"/>
              </w:rPr>
              <w:t xml:space="preserve"> буд. </w:t>
            </w:r>
            <w:r w:rsidR="00710EE0">
              <w:rPr>
                <w:rFonts w:ascii="Times New Roman" w:hAnsi="Times New Roman" w:cs="Times New Roman"/>
                <w:sz w:val="24"/>
                <w:szCs w:val="24"/>
                <w:lang w:val="uk-UA"/>
              </w:rPr>
              <w:t>1</w:t>
            </w:r>
            <w:r w:rsidR="00327FC4">
              <w:rPr>
                <w:rFonts w:ascii="Times New Roman" w:hAnsi="Times New Roman" w:cs="Times New Roman"/>
                <w:sz w:val="24"/>
                <w:szCs w:val="24"/>
                <w:lang w:val="uk-UA"/>
              </w:rPr>
              <w:t>6</w:t>
            </w:r>
            <w:r w:rsidRPr="00586A49">
              <w:rPr>
                <w:rFonts w:ascii="Times New Roman" w:hAnsi="Times New Roman" w:cs="Times New Roman"/>
                <w:sz w:val="24"/>
                <w:szCs w:val="24"/>
              </w:rPr>
              <w:t>, м.</w:t>
            </w:r>
            <w:r w:rsidR="00710EE0">
              <w:rPr>
                <w:rFonts w:ascii="Times New Roman" w:hAnsi="Times New Roman" w:cs="Times New Roman"/>
                <w:sz w:val="24"/>
                <w:szCs w:val="24"/>
                <w:lang w:val="uk-UA"/>
              </w:rPr>
              <w:t xml:space="preserve"> </w:t>
            </w:r>
            <w:proofErr w:type="spellStart"/>
            <w:r w:rsidRPr="00586A49">
              <w:rPr>
                <w:rFonts w:ascii="Times New Roman" w:hAnsi="Times New Roman" w:cs="Times New Roman"/>
                <w:sz w:val="24"/>
                <w:szCs w:val="24"/>
              </w:rPr>
              <w:t>Київ</w:t>
            </w:r>
            <w:proofErr w:type="spellEnd"/>
            <w:r>
              <w:rPr>
                <w:rFonts w:ascii="Times New Roman" w:hAnsi="Times New Roman" w:cs="Times New Roman"/>
                <w:sz w:val="24"/>
                <w:szCs w:val="24"/>
              </w:rPr>
              <w:t xml:space="preserve">, </w:t>
            </w:r>
            <w:r w:rsidR="00327FC4" w:rsidRPr="00327FC4">
              <w:rPr>
                <w:rFonts w:ascii="Times New Roman" w:hAnsi="Times New Roman" w:cs="Times New Roman"/>
                <w:sz w:val="24"/>
                <w:szCs w:val="24"/>
                <w:lang w:val="uk-UA"/>
              </w:rPr>
              <w:t>0</w:t>
            </w:r>
            <w:r w:rsidR="002A5B01" w:rsidRPr="002A5B01">
              <w:rPr>
                <w:rFonts w:ascii="Times New Roman" w:hAnsi="Times New Roman" w:cs="Times New Roman"/>
                <w:sz w:val="24"/>
                <w:szCs w:val="24"/>
                <w:lang w:val="uk-UA"/>
              </w:rPr>
              <w:t>2121</w:t>
            </w:r>
          </w:p>
          <w:p w:rsidR="00586A49" w:rsidRPr="00586A49" w:rsidRDefault="00586A49" w:rsidP="00785B5F">
            <w:pPr>
              <w:rPr>
                <w:rFonts w:ascii="Times New Roman" w:hAnsi="Times New Roman" w:cs="Times New Roman"/>
                <w:sz w:val="24"/>
                <w:szCs w:val="24"/>
              </w:rPr>
            </w:pPr>
          </w:p>
          <w:p w:rsidR="005A6B28" w:rsidRPr="002A5B01" w:rsidRDefault="002A5B01" w:rsidP="00785B5F">
            <w:pPr>
              <w:rPr>
                <w:rFonts w:ascii="Times New Roman" w:hAnsi="Times New Roman" w:cs="Times New Roman"/>
                <w:sz w:val="24"/>
                <w:szCs w:val="24"/>
                <w:lang w:val="uk-UA"/>
              </w:rPr>
            </w:pPr>
            <w:r w:rsidRPr="002A5B01">
              <w:rPr>
                <w:rFonts w:ascii="Times New Roman" w:hAnsi="Times New Roman" w:cs="Times New Roman"/>
                <w:sz w:val="24"/>
                <w:szCs w:val="24"/>
                <w:lang w:val="uk-UA"/>
              </w:rPr>
              <w:t>вул. Кам’янська,130</w:t>
            </w:r>
            <w:r>
              <w:rPr>
                <w:rFonts w:ascii="Times New Roman" w:hAnsi="Times New Roman" w:cs="Times New Roman"/>
                <w:sz w:val="24"/>
                <w:szCs w:val="24"/>
                <w:lang w:val="uk-UA"/>
              </w:rPr>
              <w:t xml:space="preserve">, </w:t>
            </w:r>
            <w:r w:rsidRPr="002A5B01">
              <w:rPr>
                <w:rFonts w:ascii="Times New Roman" w:hAnsi="Times New Roman" w:cs="Times New Roman"/>
                <w:sz w:val="24"/>
                <w:szCs w:val="24"/>
              </w:rPr>
              <w:t xml:space="preserve"> м.</w:t>
            </w:r>
            <w:r w:rsidRPr="002A5B01">
              <w:rPr>
                <w:rFonts w:ascii="Times New Roman" w:hAnsi="Times New Roman" w:cs="Times New Roman"/>
                <w:sz w:val="24"/>
                <w:szCs w:val="24"/>
                <w:lang w:val="uk-UA"/>
              </w:rPr>
              <w:t xml:space="preserve"> </w:t>
            </w:r>
            <w:proofErr w:type="spellStart"/>
            <w:r w:rsidRPr="002A5B01">
              <w:rPr>
                <w:rFonts w:ascii="Times New Roman" w:hAnsi="Times New Roman" w:cs="Times New Roman"/>
                <w:sz w:val="24"/>
                <w:szCs w:val="24"/>
              </w:rPr>
              <w:t>Київ</w:t>
            </w:r>
            <w:proofErr w:type="spellEnd"/>
            <w:r>
              <w:rPr>
                <w:rFonts w:ascii="Times New Roman" w:hAnsi="Times New Roman" w:cs="Times New Roman"/>
                <w:sz w:val="24"/>
                <w:szCs w:val="24"/>
                <w:lang w:val="uk-UA"/>
              </w:rPr>
              <w:t>,</w:t>
            </w:r>
            <w:r w:rsidRPr="002A5B01">
              <w:rPr>
                <w:rFonts w:ascii="Times New Roman" w:hAnsi="Times New Roman" w:cs="Times New Roman"/>
                <w:sz w:val="24"/>
                <w:szCs w:val="24"/>
                <w:lang w:val="uk-UA"/>
              </w:rPr>
              <w:t xml:space="preserve"> 02121</w:t>
            </w: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Pr="000249A8" w:rsidRDefault="002A5B01" w:rsidP="00710EE0">
            <w:pPr>
              <w:jc w:val="both"/>
              <w:rPr>
                <w:rFonts w:ascii="Times New Roman" w:hAnsi="Times New Roman" w:cs="Times New Roman"/>
                <w:sz w:val="24"/>
                <w:szCs w:val="24"/>
              </w:rPr>
            </w:pPr>
            <w:r>
              <w:rPr>
                <w:rFonts w:ascii="Times New Roman" w:hAnsi="Times New Roman" w:cs="Times New Roman"/>
                <w:sz w:val="24"/>
                <w:szCs w:val="24"/>
                <w:lang w:val="uk-UA"/>
              </w:rPr>
              <w:t>в</w:t>
            </w:r>
            <w:r w:rsidRPr="002A5B01">
              <w:rPr>
                <w:rFonts w:ascii="Times New Roman" w:hAnsi="Times New Roman" w:cs="Times New Roman"/>
                <w:sz w:val="24"/>
                <w:szCs w:val="24"/>
                <w:lang w:val="uk-UA"/>
              </w:rPr>
              <w:t>иконання необхідного комплексу робіт із технічного нагляду, утримання та ремонту шляхів, підземних пішохідних переходів, вуличної зливної каналізації, каналів та інших споруд.</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B47708">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B47708">
              <w:rPr>
                <w:rFonts w:ascii="Times New Roman" w:hAnsi="Times New Roman" w:cs="Times New Roman"/>
                <w:b/>
                <w:sz w:val="24"/>
                <w:szCs w:val="24"/>
                <w:lang w:val="uk-UA"/>
              </w:rPr>
              <w:t>14</w:t>
            </w:r>
            <w:r w:rsidR="00327FC4">
              <w:rPr>
                <w:rFonts w:ascii="Times New Roman" w:hAnsi="Times New Roman" w:cs="Times New Roman"/>
                <w:b/>
                <w:sz w:val="24"/>
                <w:szCs w:val="24"/>
                <w:lang w:val="uk-UA"/>
              </w:rPr>
              <w:t xml:space="preserve"> лютого</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B47708">
              <w:rPr>
                <w:rFonts w:ascii="Times New Roman" w:hAnsi="Times New Roman" w:cs="Times New Roman"/>
                <w:b/>
                <w:sz w:val="24"/>
                <w:szCs w:val="24"/>
                <w:lang w:val="uk-UA"/>
              </w:rPr>
              <w:t>16</w:t>
            </w:r>
            <w:bookmarkStart w:id="0" w:name="_GoBack"/>
            <w:bookmarkEnd w:id="0"/>
            <w:r w:rsidR="00327FC4">
              <w:rPr>
                <w:rFonts w:ascii="Times New Roman" w:hAnsi="Times New Roman" w:cs="Times New Roman"/>
                <w:b/>
                <w:sz w:val="24"/>
                <w:szCs w:val="24"/>
                <w:lang w:val="uk-UA"/>
              </w:rPr>
              <w:t xml:space="preserve"> березня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327FC4">
              <w:rPr>
                <w:rFonts w:ascii="Times New Roman" w:hAnsi="Times New Roman" w:cs="Times New Roman"/>
                <w:b/>
                <w:sz w:val="24"/>
                <w:szCs w:val="24"/>
                <w:lang w:val="uk-UA"/>
              </w:rPr>
              <w:t>2</w:t>
            </w:r>
            <w:r w:rsidRPr="00C56312">
              <w:rPr>
                <w:rFonts w:ascii="Times New Roman" w:hAnsi="Times New Roman" w:cs="Times New Roman"/>
                <w:sz w:val="24"/>
                <w:szCs w:val="24"/>
              </w:rPr>
              <w:t xml:space="preserve"> року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Департаменті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транспортної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інфраструктури</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м. </w:t>
            </w:r>
            <w:proofErr w:type="spellStart"/>
            <w:r w:rsidRPr="00C56312">
              <w:rPr>
                <w:rFonts w:ascii="Times New Roman" w:hAnsi="Times New Roman" w:cs="Times New Roman"/>
                <w:sz w:val="24"/>
                <w:szCs w:val="24"/>
              </w:rPr>
              <w:t>Київ</w:t>
            </w:r>
            <w:proofErr w:type="spellEnd"/>
            <w:r w:rsidR="002137FE"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B47708" w:rsidP="00785B5F">
            <w:pPr>
              <w:rPr>
                <w:rFonts w:ascii="Times New Roman" w:hAnsi="Times New Roman" w:cs="Times New Roman"/>
                <w:color w:val="000000" w:themeColor="text1"/>
                <w:sz w:val="24"/>
                <w:szCs w:val="24"/>
              </w:rPr>
            </w:pPr>
            <w:hyperlink r:id="rId6"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w:t>
            </w:r>
            <w:r w:rsidRPr="00327FC4">
              <w:rPr>
                <w:rFonts w:ascii="Times New Roman" w:hAnsi="Times New Roman" w:cs="Times New Roman"/>
                <w:b/>
                <w:sz w:val="24"/>
                <w:szCs w:val="24"/>
                <w:lang w:val="uk-UA"/>
              </w:rPr>
              <w:t>(оригінали та копії)</w:t>
            </w:r>
            <w:r w:rsidRPr="00327FC4">
              <w:rPr>
                <w:rFonts w:ascii="Times New Roman" w:hAnsi="Times New Roman" w:cs="Times New Roman"/>
                <w:b/>
                <w:sz w:val="24"/>
                <w:szCs w:val="24"/>
              </w:rPr>
              <w:t>:</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lastRenderedPageBreak/>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w:t>
            </w:r>
            <w:r w:rsidR="006C4349" w:rsidRPr="000E68E6">
              <w:rPr>
                <w:rFonts w:ascii="Times New Roman" w:hAnsi="Times New Roman" w:cs="Times New Roman"/>
                <w:color w:val="000000"/>
                <w:sz w:val="24"/>
                <w:szCs w:val="24"/>
                <w:shd w:val="clear" w:color="auto" w:fill="FFFFFF"/>
                <w:lang w:val="uk-UA"/>
              </w:rPr>
              <w:lastRenderedPageBreak/>
              <w:t xml:space="preserve">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327FC4">
                          <w:rPr>
                            <w:rFonts w:ascii="Times New Roman" w:hAnsi="Times New Roman"/>
                            <w:sz w:val="24"/>
                            <w:szCs w:val="24"/>
                            <w:lang w:val="uk-UA"/>
                          </w:rPr>
                          <w:t xml:space="preserve"> (</w:t>
                        </w:r>
                        <w:r w:rsidR="002A5B01">
                          <w:rPr>
                            <w:rFonts w:ascii="Times New Roman" w:hAnsi="Times New Roman"/>
                            <w:sz w:val="24"/>
                            <w:szCs w:val="24"/>
                            <w:lang w:val="uk-UA"/>
                          </w:rPr>
                          <w:t>40 252</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lastRenderedPageBreak/>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7"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70D42"/>
    <w:rsid w:val="00270D6D"/>
    <w:rsid w:val="00286E9B"/>
    <w:rsid w:val="00287CB8"/>
    <w:rsid w:val="002A5B01"/>
    <w:rsid w:val="002B6817"/>
    <w:rsid w:val="002C1EB3"/>
    <w:rsid w:val="002C2625"/>
    <w:rsid w:val="002E638B"/>
    <w:rsid w:val="00300A5F"/>
    <w:rsid w:val="0030210C"/>
    <w:rsid w:val="00302439"/>
    <w:rsid w:val="00327FC4"/>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A0292"/>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47708"/>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ligazakon.net/document/mr160694$2020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kadry_dt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6941-F438-4FA5-807A-8F000332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5422</Words>
  <Characters>3092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5</cp:revision>
  <cp:lastPrinted>2017-08-02T15:57:00Z</cp:lastPrinted>
  <dcterms:created xsi:type="dcterms:W3CDTF">2021-09-28T16:00:00Z</dcterms:created>
  <dcterms:modified xsi:type="dcterms:W3CDTF">2022-02-11T11:51:00Z</dcterms:modified>
</cp:coreProperties>
</file>