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5AA" w:rsidRPr="00CB5A43" w:rsidRDefault="00D06BDD" w:rsidP="000C45AA">
      <w:pPr>
        <w:spacing w:after="0" w:line="288" w:lineRule="auto"/>
        <w:ind w:firstLine="708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CB5A43">
        <w:rPr>
          <w:rFonts w:ascii="Times New Roman" w:hAnsi="Times New Roman" w:cs="Times New Roman"/>
          <w:b/>
          <w:sz w:val="27"/>
          <w:szCs w:val="27"/>
          <w:lang w:val="uk-UA"/>
        </w:rPr>
        <w:t>Пояснювальна записка</w:t>
      </w:r>
    </w:p>
    <w:p w:rsidR="00E76BD5" w:rsidRPr="00CB5A43" w:rsidRDefault="00D06BDD" w:rsidP="000C45AA">
      <w:pPr>
        <w:spacing w:after="0" w:line="288" w:lineRule="auto"/>
        <w:ind w:firstLine="708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CB5A43">
        <w:rPr>
          <w:rFonts w:ascii="Times New Roman" w:hAnsi="Times New Roman" w:cs="Times New Roman"/>
          <w:b/>
          <w:sz w:val="27"/>
          <w:szCs w:val="27"/>
          <w:lang w:val="uk-UA"/>
        </w:rPr>
        <w:t>про хід виконання</w:t>
      </w:r>
    </w:p>
    <w:p w:rsidR="00D06BDD" w:rsidRPr="00CB5A43" w:rsidRDefault="00E02CEF" w:rsidP="000C45AA">
      <w:pPr>
        <w:spacing w:after="0" w:line="288" w:lineRule="auto"/>
        <w:ind w:firstLine="708"/>
        <w:jc w:val="center"/>
        <w:rPr>
          <w:rFonts w:ascii="Times New Roman" w:hAnsi="Times New Roman" w:cs="Times New Roman"/>
          <w:sz w:val="27"/>
          <w:szCs w:val="27"/>
          <w:lang w:val="uk-UA"/>
        </w:rPr>
      </w:pPr>
      <w:r w:rsidRPr="00CB5A43">
        <w:rPr>
          <w:rFonts w:ascii="Times New Roman" w:hAnsi="Times New Roman" w:cs="Times New Roman"/>
          <w:sz w:val="27"/>
          <w:szCs w:val="27"/>
          <w:lang w:val="uk-UA"/>
        </w:rPr>
        <w:t>Міськ</w:t>
      </w:r>
      <w:r w:rsidR="00D06BDD" w:rsidRPr="00CB5A43">
        <w:rPr>
          <w:rFonts w:ascii="Times New Roman" w:hAnsi="Times New Roman" w:cs="Times New Roman"/>
          <w:sz w:val="27"/>
          <w:szCs w:val="27"/>
          <w:lang w:val="uk-UA"/>
        </w:rPr>
        <w:t>ої цільової</w:t>
      </w:r>
      <w:r w:rsidRPr="00CB5A43">
        <w:rPr>
          <w:rFonts w:ascii="Times New Roman" w:hAnsi="Times New Roman" w:cs="Times New Roman"/>
          <w:sz w:val="27"/>
          <w:szCs w:val="27"/>
          <w:lang w:val="uk-UA"/>
        </w:rPr>
        <w:t xml:space="preserve"> програм</w:t>
      </w:r>
      <w:r w:rsidR="00D06BDD" w:rsidRPr="00CB5A43">
        <w:rPr>
          <w:rFonts w:ascii="Times New Roman" w:hAnsi="Times New Roman" w:cs="Times New Roman"/>
          <w:sz w:val="27"/>
          <w:szCs w:val="27"/>
          <w:lang w:val="uk-UA"/>
        </w:rPr>
        <w:t>и</w:t>
      </w:r>
      <w:r w:rsidRPr="00CB5A43">
        <w:rPr>
          <w:rFonts w:ascii="Times New Roman" w:hAnsi="Times New Roman" w:cs="Times New Roman"/>
          <w:sz w:val="27"/>
          <w:szCs w:val="27"/>
          <w:lang w:val="uk-UA"/>
        </w:rPr>
        <w:t xml:space="preserve"> розвитку туризму</w:t>
      </w:r>
    </w:p>
    <w:p w:rsidR="00D06BDD" w:rsidRPr="00CB5A43" w:rsidRDefault="00E02CEF" w:rsidP="000C45AA">
      <w:pPr>
        <w:spacing w:after="0" w:line="288" w:lineRule="auto"/>
        <w:ind w:firstLine="708"/>
        <w:jc w:val="center"/>
        <w:rPr>
          <w:rFonts w:ascii="Times New Roman" w:hAnsi="Times New Roman" w:cs="Times New Roman"/>
          <w:sz w:val="27"/>
          <w:szCs w:val="27"/>
          <w:lang w:val="uk-UA"/>
        </w:rPr>
      </w:pPr>
      <w:r w:rsidRPr="00CB5A43">
        <w:rPr>
          <w:rFonts w:ascii="Times New Roman" w:hAnsi="Times New Roman" w:cs="Times New Roman"/>
          <w:sz w:val="27"/>
          <w:szCs w:val="27"/>
          <w:lang w:val="uk-UA"/>
        </w:rPr>
        <w:t>в місті Києві на 2016-2018 роки</w:t>
      </w:r>
    </w:p>
    <w:p w:rsidR="00E76BD5" w:rsidRPr="00CB5A43" w:rsidRDefault="000140B1" w:rsidP="000C45AA">
      <w:pPr>
        <w:spacing w:after="0" w:line="288" w:lineRule="auto"/>
        <w:ind w:firstLine="708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0140B1">
        <w:rPr>
          <w:rFonts w:ascii="Times New Roman" w:hAnsi="Times New Roman" w:cs="Times New Roman"/>
          <w:b/>
          <w:sz w:val="27"/>
          <w:szCs w:val="27"/>
          <w:lang w:val="uk-UA"/>
        </w:rPr>
        <w:t>за</w:t>
      </w:r>
      <w:r w:rsidR="00D80A95" w:rsidRPr="000140B1"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  <w:r w:rsidRPr="000140B1">
        <w:rPr>
          <w:rFonts w:ascii="Times New Roman" w:hAnsi="Times New Roman" w:cs="Times New Roman"/>
          <w:b/>
          <w:sz w:val="27"/>
          <w:szCs w:val="27"/>
          <w:lang w:val="uk-UA"/>
        </w:rPr>
        <w:t xml:space="preserve">2016 - </w:t>
      </w:r>
      <w:r w:rsidR="00E02CEF" w:rsidRPr="000140B1">
        <w:rPr>
          <w:rFonts w:ascii="Times New Roman" w:hAnsi="Times New Roman" w:cs="Times New Roman"/>
          <w:b/>
          <w:sz w:val="27"/>
          <w:szCs w:val="27"/>
          <w:lang w:val="uk-UA"/>
        </w:rPr>
        <w:t>201</w:t>
      </w:r>
      <w:r w:rsidR="00B21479" w:rsidRPr="000140B1">
        <w:rPr>
          <w:rFonts w:ascii="Times New Roman" w:hAnsi="Times New Roman" w:cs="Times New Roman"/>
          <w:b/>
          <w:sz w:val="27"/>
          <w:szCs w:val="27"/>
          <w:lang w:val="uk-UA"/>
        </w:rPr>
        <w:t>8</w:t>
      </w:r>
      <w:r w:rsidR="00E02CEF" w:rsidRPr="000140B1"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  <w:r w:rsidR="00D06BDD" w:rsidRPr="000140B1">
        <w:rPr>
          <w:rFonts w:ascii="Times New Roman" w:hAnsi="Times New Roman" w:cs="Times New Roman"/>
          <w:b/>
          <w:sz w:val="27"/>
          <w:szCs w:val="27"/>
          <w:lang w:val="uk-UA"/>
        </w:rPr>
        <w:t>р</w:t>
      </w:r>
      <w:r w:rsidRPr="000140B1">
        <w:rPr>
          <w:rFonts w:ascii="Times New Roman" w:hAnsi="Times New Roman" w:cs="Times New Roman"/>
          <w:b/>
          <w:sz w:val="27"/>
          <w:szCs w:val="27"/>
          <w:lang w:val="uk-UA"/>
        </w:rPr>
        <w:t>оки</w:t>
      </w:r>
    </w:p>
    <w:p w:rsidR="0098630D" w:rsidRPr="00CB5A43" w:rsidRDefault="0098630D" w:rsidP="0098630D">
      <w:pPr>
        <w:spacing w:before="100" w:beforeAutospacing="1" w:after="100" w:afterAutospacing="1"/>
        <w:rPr>
          <w:rFonts w:ascii="Times New Roman" w:eastAsiaTheme="minorEastAsia" w:hAnsi="Times New Roman" w:cs="Times New Roman"/>
          <w:color w:val="000000"/>
          <w:sz w:val="27"/>
          <w:szCs w:val="27"/>
          <w:lang w:val="uk-UA" w:eastAsia="uk-UA"/>
        </w:rPr>
      </w:pPr>
      <w:r w:rsidRPr="00CB5A43">
        <w:rPr>
          <w:rFonts w:ascii="Times New Roman" w:eastAsiaTheme="minorEastAsia" w:hAnsi="Times New Roman" w:cs="Times New Roman"/>
          <w:b/>
          <w:bCs/>
          <w:color w:val="000000"/>
          <w:sz w:val="27"/>
          <w:szCs w:val="27"/>
          <w:lang w:val="uk-UA" w:eastAsia="uk-UA"/>
        </w:rPr>
        <w:t xml:space="preserve">1. Оцінка ефективності виконання </w:t>
      </w:r>
    </w:p>
    <w:p w:rsidR="0098630D" w:rsidRPr="00AC545D" w:rsidRDefault="00E76BD5" w:rsidP="00AC545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  <w:lang w:val="uk-UA"/>
        </w:rPr>
      </w:pPr>
      <w:r w:rsidRPr="00DB12D1">
        <w:rPr>
          <w:rFonts w:ascii="Times New Roman" w:hAnsi="Times New Roman" w:cs="Times New Roman"/>
          <w:sz w:val="26"/>
          <w:szCs w:val="26"/>
          <w:lang w:val="uk-UA"/>
        </w:rPr>
        <w:t xml:space="preserve">Для поетапної реалізації довгострокових проектів, визначених Стратегією, була розроблена та </w:t>
      </w:r>
      <w:r w:rsidR="00E02CEF" w:rsidRPr="00DB12D1">
        <w:rPr>
          <w:rFonts w:ascii="Times New Roman" w:hAnsi="Times New Roman" w:cs="Times New Roman"/>
          <w:sz w:val="26"/>
          <w:szCs w:val="26"/>
          <w:lang w:val="uk-UA"/>
        </w:rPr>
        <w:t>затверджена рішенням Київської міської ради від 11.02.2016 № 91/91 Міська цільова програма розвитку туризму в місті Києві на 2016-2018 роки</w:t>
      </w:r>
      <w:r w:rsidR="00447C0C">
        <w:rPr>
          <w:rFonts w:ascii="Times New Roman" w:hAnsi="Times New Roman" w:cs="Times New Roman"/>
          <w:sz w:val="26"/>
          <w:szCs w:val="26"/>
          <w:lang w:val="uk-UA"/>
        </w:rPr>
        <w:t xml:space="preserve"> (далі - Програма)</w:t>
      </w:r>
      <w:r w:rsidR="00995B71" w:rsidRPr="00DB12D1">
        <w:rPr>
          <w:rFonts w:ascii="Times New Roman" w:hAnsi="Times New Roman" w:cs="Times New Roman"/>
          <w:sz w:val="26"/>
          <w:szCs w:val="26"/>
          <w:lang w:val="uk-UA"/>
        </w:rPr>
        <w:t xml:space="preserve"> до якої були внесені зміни, затверджені рішення</w:t>
      </w:r>
      <w:r w:rsidR="009665A7" w:rsidRPr="00DB12D1">
        <w:rPr>
          <w:rFonts w:ascii="Times New Roman" w:hAnsi="Times New Roman" w:cs="Times New Roman"/>
          <w:sz w:val="26"/>
          <w:szCs w:val="26"/>
          <w:lang w:val="uk-UA"/>
        </w:rPr>
        <w:t>м</w:t>
      </w:r>
      <w:r w:rsidR="00995B71" w:rsidRPr="00DB12D1">
        <w:rPr>
          <w:rFonts w:ascii="Times New Roman" w:hAnsi="Times New Roman" w:cs="Times New Roman"/>
          <w:sz w:val="26"/>
          <w:szCs w:val="26"/>
          <w:lang w:val="uk-UA"/>
        </w:rPr>
        <w:t xml:space="preserve"> Київської міської ради від 20.12.2017</w:t>
      </w:r>
      <w:r w:rsidR="00247A9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95B71" w:rsidRPr="00DB12D1">
        <w:rPr>
          <w:rFonts w:ascii="Times New Roman" w:hAnsi="Times New Roman" w:cs="Times New Roman"/>
          <w:sz w:val="26"/>
          <w:szCs w:val="26"/>
          <w:lang w:val="uk-UA"/>
        </w:rPr>
        <w:t xml:space="preserve">№ </w:t>
      </w:r>
      <w:r w:rsidRPr="00DB12D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50183" w:rsidRPr="00DB12D1">
        <w:rPr>
          <w:rFonts w:ascii="Times New Roman" w:hAnsi="Times New Roman" w:cs="Times New Roman"/>
          <w:sz w:val="26"/>
          <w:szCs w:val="26"/>
          <w:lang w:val="uk-UA"/>
        </w:rPr>
        <w:t>708/3715</w:t>
      </w:r>
      <w:r w:rsidR="009C5E53" w:rsidRPr="00DB12D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715D1A" w:rsidRDefault="00715D1A" w:rsidP="00C9521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DB12D1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З метою створення позитивного іміджу м. Києва як туристичної столиці європейського рівня, популяризації його туристичного потенціалу та розвитку інфраструктури і, як наслідок, збільшення туристичних потоків до міста </w:t>
      </w:r>
      <w:r w:rsidR="00447C0C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Управлінням туризму та промоцій протягом 2016 - </w:t>
      </w:r>
      <w:r w:rsidRPr="00DB12D1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201</w:t>
      </w:r>
      <w:r w:rsidR="00B21479" w:rsidRPr="00DB12D1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8</w:t>
      </w:r>
      <w:r w:rsidRPr="00DB12D1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р</w:t>
      </w:r>
      <w:r w:rsidR="00447C0C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оків</w:t>
      </w:r>
      <w:r w:rsidRPr="00DB12D1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здійснен</w:t>
      </w:r>
      <w:r w:rsidR="00CD2D13" w:rsidRPr="00DB12D1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о</w:t>
      </w:r>
      <w:r w:rsidRPr="00DB12D1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наступні заходи</w:t>
      </w:r>
      <w:r w:rsidR="00447C0C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Програми</w:t>
      </w:r>
      <w:r w:rsidRPr="00DB12D1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:</w:t>
      </w:r>
    </w:p>
    <w:p w:rsidR="00247A9D" w:rsidRPr="00F54B10" w:rsidRDefault="00247A9D" w:rsidP="00C9521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F54B1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1. Реалізація іміджевої політики в туристичній сфері.</w:t>
      </w:r>
    </w:p>
    <w:p w:rsidR="00247A9D" w:rsidRPr="00CE6D3A" w:rsidRDefault="00247A9D" w:rsidP="00247A9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</w:pPr>
      <w:r w:rsidRPr="00CE6D3A"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  <w:t xml:space="preserve">1.1. Розробка та впровадження міської туристичної ID-картки гостя м. Києва, виготовлення </w:t>
      </w:r>
      <w:proofErr w:type="spellStart"/>
      <w:r w:rsidRPr="00CE6D3A"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  <w:t>промоційної</w:t>
      </w:r>
      <w:proofErr w:type="spellEnd"/>
      <w:r w:rsidRPr="00CE6D3A"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  <w:t xml:space="preserve"> та сувенірної продукції, організація реклами туристичних можливостей міста Києва</w:t>
      </w:r>
      <w:r w:rsidRPr="006F595F"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  <w:t>, створення та видання календаря подій, ви</w:t>
      </w:r>
      <w:r w:rsidRPr="00CE6D3A"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  <w:t xml:space="preserve">готовлення </w:t>
      </w:r>
      <w:proofErr w:type="spellStart"/>
      <w:r w:rsidRPr="00CB68ED"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  <w:t>промо</w:t>
      </w:r>
      <w:proofErr w:type="spellEnd"/>
      <w:r w:rsidRPr="00CB68ED"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  <w:t>-роликів,</w:t>
      </w:r>
      <w:r w:rsidRPr="00CE6D3A"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  <w:t xml:space="preserve"> організація їх транслювання на телебаченні та в кінотеатрах України і за кордоном, виготовлення та встановлення 3-д конструкцій логотипу міста Києва, </w:t>
      </w:r>
      <w:r w:rsidRPr="00502F2C"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  <w:t>організація перехресної промоції міста Києва з іншими</w:t>
      </w:r>
      <w:r w:rsidRPr="00CE6D3A"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  <w:t xml:space="preserve"> туристичними </w:t>
      </w:r>
      <w:proofErr w:type="spellStart"/>
      <w:r w:rsidRPr="00CE6D3A"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  <w:t>дестинаціями</w:t>
      </w:r>
      <w:proofErr w:type="spellEnd"/>
      <w:r w:rsidRPr="00CE6D3A"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  <w:t>:</w:t>
      </w:r>
    </w:p>
    <w:p w:rsidR="00920386" w:rsidRPr="00920386" w:rsidRDefault="00920386" w:rsidP="0092038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Розроблено та впроваджено туристичну ID-картку</w:t>
      </w:r>
      <w:r w:rsidRPr="00920386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гостя м. Києва для відвідування об’єктів туристичного показу, оплати транспортних послуг тощо (24 години, 48 годин та 72 години у кількості 1 000 одиниць).</w:t>
      </w:r>
    </w:p>
    <w:p w:rsidR="006F595F" w:rsidRDefault="00920386" w:rsidP="006F595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Протягом 2016 – 2018 років виготовлено </w:t>
      </w:r>
      <w:r w:rsidR="0065119A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понад </w:t>
      </w:r>
      <w:r w:rsidR="00CB68ED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220</w:t>
      </w:r>
      <w:r w:rsidR="0065119A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 000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примірників поліграфічної та сувенірної продукції, виготовлено </w:t>
      </w:r>
      <w:r w:rsidR="002819EC" w:rsidRPr="002819E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 </w:t>
      </w:r>
      <w:proofErr w:type="spellStart"/>
      <w:r w:rsidR="002819EC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промо-роліки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. Виготовлено та встановлено 3 </w:t>
      </w:r>
      <w:r w:rsidR="002819EC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</w:t>
      </w:r>
      <w:r w:rsidRPr="00920386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3 -Д конструкції ту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ристичного логотипу міста Києва</w:t>
      </w:r>
      <w:r w:rsidRPr="00920386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(в міжнародних аеропортах</w:t>
      </w:r>
      <w:r w:rsidRPr="00920386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«Бориспіль» та </w:t>
      </w:r>
      <w:r w:rsidRPr="00920386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«Київ» (Жуляни)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, а також біля будівлі КМДА).</w:t>
      </w:r>
    </w:p>
    <w:p w:rsidR="006F595F" w:rsidRDefault="006F595F" w:rsidP="006F595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Сформовано єдиний календар культурно-масових подій міста </w:t>
      </w:r>
      <w:r w:rsidRPr="006F595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Києва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, який затверджений розпорядженням </w:t>
      </w:r>
      <w:r w:rsidRPr="006F595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виконавчог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о органу Київської міської ради </w:t>
      </w:r>
      <w:r w:rsidRPr="006F595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(Київської міськ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ої державної адміністрації) від </w:t>
      </w:r>
      <w:r w:rsidRPr="006F595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14.07.2017 №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842, а також </w:t>
      </w:r>
      <w:r w:rsidRPr="006F595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сформовано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перелік щорічних основних </w:t>
      </w:r>
      <w:r w:rsidRPr="006F595F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туристично-привабливих подій столиці України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.</w:t>
      </w:r>
    </w:p>
    <w:p w:rsidR="00247A9D" w:rsidRDefault="00247A9D" w:rsidP="00C9521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247A9D" w:rsidRDefault="00247A9D" w:rsidP="00247A9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F54B1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2. Посилення та просування інтернет-присутності м. Києва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.</w:t>
      </w:r>
    </w:p>
    <w:p w:rsidR="00247A9D" w:rsidRDefault="00247A9D" w:rsidP="00247A9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</w:pPr>
      <w:r w:rsidRPr="00CE6D3A"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  <w:t xml:space="preserve">2.1. Модернізація київського туристичного порталу (адаптивність) та технічна підтримка, переклад сайту, утримання серверу, забезпечення роботи домену в зоні </w:t>
      </w:r>
      <w:proofErr w:type="spellStart"/>
      <w:r w:rsidRPr="00CE6D3A"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  <w:t>travel</w:t>
      </w:r>
      <w:proofErr w:type="spellEnd"/>
      <w:r w:rsidRPr="00CE6D3A"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  <w:t xml:space="preserve">, просування порталу на найбільших пошукових системах, забезпечення контекстної реклами, просування сторінки </w:t>
      </w:r>
      <w:proofErr w:type="spellStart"/>
      <w:r w:rsidRPr="00CE6D3A"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  <w:t>Київтуризм</w:t>
      </w:r>
      <w:proofErr w:type="spellEnd"/>
      <w:r w:rsidRPr="00CE6D3A"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  <w:t xml:space="preserve"> в соціальних мережах, створення мобільного додатку:</w:t>
      </w:r>
    </w:p>
    <w:p w:rsidR="00CA3D13" w:rsidRDefault="00E30154" w:rsidP="00247A9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Створено та постійно модернізується</w:t>
      </w:r>
      <w:r w:rsidR="00AB0945"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київський турис</w:t>
      </w:r>
      <w:r w:rsidR="00CA3D13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тичний портал visitkyiv.travel,</w:t>
      </w:r>
      <w:r w:rsidR="00AB0945"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здійснено інтеграцію існуючих екскурсійни</w:t>
      </w:r>
      <w:r w:rsidR="00D30808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х програм з мобільного додатку «</w:t>
      </w:r>
      <w:proofErr w:type="spellStart"/>
      <w:r w:rsidR="00D30808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Kyiv</w:t>
      </w:r>
      <w:proofErr w:type="spellEnd"/>
      <w:r w:rsidR="00D30808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D30808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City</w:t>
      </w:r>
      <w:proofErr w:type="spellEnd"/>
      <w:r w:rsidR="00D30808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D30808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Guide</w:t>
      </w:r>
      <w:proofErr w:type="spellEnd"/>
      <w:r w:rsidR="00D30808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»</w:t>
      </w:r>
      <w:r w:rsidR="00AB0945"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на портал.  Проведено роботи з </w:t>
      </w:r>
      <w:proofErr w:type="spellStart"/>
      <w:r w:rsidR="00AB0945"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мовної</w:t>
      </w:r>
      <w:proofErr w:type="spellEnd"/>
      <w:r w:rsidR="00AB0945"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підтримки сайту (переклад на мови: російська, німецька, англійська, китайська).  Забезпечено просування київського туристичного порталу на найбільших пошукових сайтах, просування сторінки </w:t>
      </w:r>
      <w:proofErr w:type="spellStart"/>
      <w:r w:rsidR="00AB0945"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Київтуризм</w:t>
      </w:r>
      <w:proofErr w:type="spellEnd"/>
      <w:r w:rsidR="00AB0945"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(</w:t>
      </w:r>
      <w:proofErr w:type="spellStart"/>
      <w:r w:rsidR="00AB0945"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visitkyivtravel</w:t>
      </w:r>
      <w:proofErr w:type="spellEnd"/>
      <w:r w:rsidR="00AB0945"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) у соціальних мережах (</w:t>
      </w:r>
      <w:proofErr w:type="spellStart"/>
      <w:r w:rsidR="00AB0945"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Facebook</w:t>
      </w:r>
      <w:proofErr w:type="spellEnd"/>
      <w:r w:rsidR="00AB0945"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, </w:t>
      </w:r>
      <w:proofErr w:type="spellStart"/>
      <w:r w:rsidR="00AB0945"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Instagram</w:t>
      </w:r>
      <w:proofErr w:type="spellEnd"/>
      <w:r w:rsidR="00AB0945"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). </w:t>
      </w:r>
    </w:p>
    <w:p w:rsidR="00AB0945" w:rsidRPr="00AB0945" w:rsidRDefault="00AB0945" w:rsidP="00247A9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lastRenderedPageBreak/>
        <w:t>Створено мобільн</w:t>
      </w:r>
      <w:r w:rsidR="00CA3D13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ий</w:t>
      </w:r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додат</w:t>
      </w:r>
      <w:r w:rsidR="00CA3D13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о</w:t>
      </w:r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к «</w:t>
      </w:r>
      <w:proofErr w:type="spellStart"/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Kyiv</w:t>
      </w:r>
      <w:proofErr w:type="spellEnd"/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Mobile</w:t>
      </w:r>
      <w:proofErr w:type="spellEnd"/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Guide</w:t>
      </w:r>
      <w:proofErr w:type="spellEnd"/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», що передбачає доступ до карти міста без активного підключення до мережі інтернет, 16 повноцінних туристичних маршрутів містом. </w:t>
      </w:r>
      <w:proofErr w:type="spellStart"/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Аудіоекскурсії</w:t>
      </w:r>
      <w:proofErr w:type="spellEnd"/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англійською та українською мовами. На міжнародній туристичній премії </w:t>
      </w:r>
      <w:proofErr w:type="spellStart"/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International</w:t>
      </w:r>
      <w:proofErr w:type="spellEnd"/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Travel</w:t>
      </w:r>
      <w:proofErr w:type="spellEnd"/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&amp; </w:t>
      </w:r>
      <w:proofErr w:type="spellStart"/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Tourism</w:t>
      </w:r>
      <w:proofErr w:type="spellEnd"/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Awards</w:t>
      </w:r>
      <w:proofErr w:type="spellEnd"/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2018 у Лондоні </w:t>
      </w:r>
      <w:proofErr w:type="spellStart"/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Kyiv</w:t>
      </w:r>
      <w:proofErr w:type="spellEnd"/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City</w:t>
      </w:r>
      <w:proofErr w:type="spellEnd"/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Guide</w:t>
      </w:r>
      <w:proofErr w:type="spellEnd"/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2.0 отримав високу оцінку «</w:t>
      </w:r>
      <w:proofErr w:type="spellStart"/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highly</w:t>
      </w:r>
      <w:proofErr w:type="spellEnd"/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commended</w:t>
      </w:r>
      <w:proofErr w:type="spellEnd"/>
      <w:r w:rsidRPr="00AB0945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»</w:t>
      </w:r>
      <w:r w:rsidR="00CA3D13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.</w:t>
      </w:r>
    </w:p>
    <w:p w:rsidR="00247A9D" w:rsidRDefault="00247A9D" w:rsidP="00247A9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247A9D" w:rsidRPr="00F54B10" w:rsidRDefault="00247A9D" w:rsidP="00247A9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F54B1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3. Розвиток та вдосконалення туристичної інфраструктури.</w:t>
      </w:r>
    </w:p>
    <w:p w:rsidR="00247A9D" w:rsidRDefault="00247A9D" w:rsidP="00247A9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</w:pPr>
      <w:r w:rsidRPr="00890CC0"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  <w:t>3.1. Встановлення нових та забезпечення функціонування існуючих комунальних туристично-інформаційних центр</w:t>
      </w:r>
      <w:r w:rsidR="0017643C"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  <w:t>ів в місті Києві (в аеропортах «Бориспіль», «Київ»</w:t>
      </w:r>
      <w:r w:rsidRPr="00890CC0"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  <w:t xml:space="preserve"> (Жуляни), на залізничному вокзалі, в центральній частині міста тощо) та виготовлення і встановлення інформаційних стендів для розповсюдження рекламно-інформаційної поліграфічної друкованої продукції</w:t>
      </w:r>
      <w:r w:rsidR="00890CC0"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  <w:t>:</w:t>
      </w:r>
    </w:p>
    <w:p w:rsidR="00D30808" w:rsidRDefault="00D30808" w:rsidP="00AD16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Створено та забезпечено функціонування 3 </w:t>
      </w:r>
      <w:r w:rsidRPr="00D30808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комунальних туристично-інформаційних центр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ів в місті Києві (в аеропортах «Бориспіль», «Київ»</w:t>
      </w:r>
      <w:r w:rsidRPr="00D30808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(Жуляни), ТРЦ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«</w:t>
      </w:r>
      <w:proofErr w:type="spellStart"/>
      <w:r w:rsidRPr="00D30808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Гулівер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»</w:t>
      </w:r>
      <w:r w:rsidR="00AD1651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, у яких </w:t>
      </w:r>
      <w:r w:rsidRPr="00D30808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безкоштовно розповсюджу</w:t>
      </w:r>
      <w:r w:rsidR="00AD1651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ються</w:t>
      </w:r>
      <w:r w:rsidRPr="00D30808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рекламно-інформаційні поліграфічні матеріали (туристичні карти міста Києва, брошури та інша супутня продукція), надаються консультативні послуги щодо орієнтування містом тощо</w:t>
      </w:r>
      <w:r w:rsidR="00AD1651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.</w:t>
      </w:r>
    </w:p>
    <w:p w:rsidR="00AD1651" w:rsidRPr="00D30808" w:rsidRDefault="00AD1651" w:rsidP="00AD16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F54B10" w:rsidRDefault="00F54B10" w:rsidP="00247A9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</w:pPr>
      <w:r w:rsidRPr="00890CC0"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  <w:t>3.2. Облаштування та обслуговування місць стоянок і зупинок туристично-екскурсійного транспорту відповідними дорожніми знаками та розміткою</w:t>
      </w:r>
      <w:r w:rsidR="00890CC0"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  <w:t>:</w:t>
      </w:r>
    </w:p>
    <w:p w:rsidR="00FA2997" w:rsidRPr="00FA2997" w:rsidRDefault="00FA2997" w:rsidP="00247A9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Облаштовано 20 стоянок</w:t>
      </w:r>
      <w:r w:rsidRPr="00FA2997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туристично-екскурсійного транспорту в центральній частині міста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.</w:t>
      </w:r>
    </w:p>
    <w:p w:rsidR="00247A9D" w:rsidRPr="00890CC0" w:rsidRDefault="00247A9D" w:rsidP="00FA2997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6"/>
          <w:szCs w:val="26"/>
          <w:lang w:val="uk-UA"/>
        </w:rPr>
      </w:pPr>
    </w:p>
    <w:p w:rsidR="00AD1651" w:rsidRDefault="00344011" w:rsidP="00AD165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890CC0">
        <w:rPr>
          <w:rFonts w:ascii="Times New Roman" w:hAnsi="Times New Roman" w:cs="Times New Roman"/>
          <w:i/>
          <w:sz w:val="26"/>
          <w:szCs w:val="26"/>
          <w:lang w:val="uk-UA"/>
        </w:rPr>
        <w:t xml:space="preserve">3.3. Розвиток туристичної навігації містом (встановлення нових та/або оновлення існуючих вказівників до об'єктів екскурсійного показу, в т. ч. іноземними мовами та стендів (пілонів) з загальноміською, </w:t>
      </w:r>
      <w:proofErr w:type="spellStart"/>
      <w:r w:rsidRPr="00890CC0">
        <w:rPr>
          <w:rFonts w:ascii="Times New Roman" w:hAnsi="Times New Roman" w:cs="Times New Roman"/>
          <w:i/>
          <w:sz w:val="26"/>
          <w:szCs w:val="26"/>
          <w:lang w:val="uk-UA"/>
        </w:rPr>
        <w:t>маршрутно</w:t>
      </w:r>
      <w:proofErr w:type="spellEnd"/>
      <w:r w:rsidRPr="00890CC0">
        <w:rPr>
          <w:rFonts w:ascii="Times New Roman" w:hAnsi="Times New Roman" w:cs="Times New Roman"/>
          <w:i/>
          <w:sz w:val="26"/>
          <w:szCs w:val="26"/>
          <w:lang w:val="uk-UA"/>
        </w:rPr>
        <w:t>-картографічною та туристичною інформацією на державній та іноземних мовах) різних форм</w:t>
      </w:r>
      <w:r w:rsidR="00890CC0">
        <w:rPr>
          <w:rFonts w:ascii="Times New Roman" w:hAnsi="Times New Roman" w:cs="Times New Roman"/>
          <w:i/>
          <w:sz w:val="26"/>
          <w:szCs w:val="26"/>
          <w:lang w:val="uk-UA"/>
        </w:rPr>
        <w:t>:</w:t>
      </w:r>
    </w:p>
    <w:p w:rsidR="00AD1651" w:rsidRDefault="00273640" w:rsidP="00AD16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Повністю о</w:t>
      </w:r>
      <w:r w:rsidR="00AD1651" w:rsidRPr="00AD1651">
        <w:rPr>
          <w:rFonts w:ascii="Times New Roman" w:hAnsi="Times New Roman" w:cs="Times New Roman"/>
          <w:sz w:val="26"/>
          <w:szCs w:val="26"/>
          <w:lang w:val="uk-UA"/>
        </w:rPr>
        <w:t>новл</w:t>
      </w:r>
      <w:r>
        <w:rPr>
          <w:rFonts w:ascii="Times New Roman" w:hAnsi="Times New Roman" w:cs="Times New Roman"/>
          <w:sz w:val="26"/>
          <w:szCs w:val="26"/>
          <w:lang w:val="uk-UA"/>
        </w:rPr>
        <w:t>ено</w:t>
      </w:r>
      <w:r w:rsidR="00AD1651" w:rsidRPr="00AD1651">
        <w:rPr>
          <w:rFonts w:ascii="Times New Roman" w:hAnsi="Times New Roman" w:cs="Times New Roman"/>
          <w:sz w:val="26"/>
          <w:szCs w:val="26"/>
          <w:lang w:val="uk-UA"/>
        </w:rPr>
        <w:t xml:space="preserve"> створен</w:t>
      </w:r>
      <w:r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AD1651" w:rsidRPr="00AD1651">
        <w:rPr>
          <w:rFonts w:ascii="Times New Roman" w:hAnsi="Times New Roman" w:cs="Times New Roman"/>
          <w:sz w:val="26"/>
          <w:szCs w:val="26"/>
          <w:lang w:val="uk-UA"/>
        </w:rPr>
        <w:t xml:space="preserve"> у 2012 році туристичн</w:t>
      </w:r>
      <w:r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AD1651" w:rsidRPr="00AD1651">
        <w:rPr>
          <w:rFonts w:ascii="Times New Roman" w:hAnsi="Times New Roman" w:cs="Times New Roman"/>
          <w:sz w:val="26"/>
          <w:szCs w:val="26"/>
          <w:lang w:val="uk-UA"/>
        </w:rPr>
        <w:t xml:space="preserve"> навігаці</w:t>
      </w:r>
      <w:r>
        <w:rPr>
          <w:rFonts w:ascii="Times New Roman" w:hAnsi="Times New Roman" w:cs="Times New Roman"/>
          <w:sz w:val="26"/>
          <w:szCs w:val="26"/>
          <w:lang w:val="uk-UA"/>
        </w:rPr>
        <w:t>єю</w:t>
      </w:r>
      <w:r w:rsidR="00AD1651" w:rsidRPr="00AD1651">
        <w:rPr>
          <w:rFonts w:ascii="Times New Roman" w:hAnsi="Times New Roman" w:cs="Times New Roman"/>
          <w:sz w:val="26"/>
          <w:szCs w:val="26"/>
          <w:lang w:val="uk-UA"/>
        </w:rPr>
        <w:t xml:space="preserve"> містом (стенди (пілони) та вказі</w:t>
      </w:r>
      <w:r>
        <w:rPr>
          <w:rFonts w:ascii="Times New Roman" w:hAnsi="Times New Roman" w:cs="Times New Roman"/>
          <w:sz w:val="26"/>
          <w:szCs w:val="26"/>
          <w:lang w:val="uk-UA"/>
        </w:rPr>
        <w:t>вники до туристичних об’єктів) та встановлено 30</w:t>
      </w:r>
      <w:r w:rsidR="00AD1651" w:rsidRPr="00AD165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нових </w:t>
      </w:r>
      <w:r w:rsidR="00AD1651" w:rsidRPr="00AD1651">
        <w:rPr>
          <w:rFonts w:ascii="Times New Roman" w:hAnsi="Times New Roman" w:cs="Times New Roman"/>
          <w:sz w:val="26"/>
          <w:szCs w:val="26"/>
          <w:lang w:val="uk-UA"/>
        </w:rPr>
        <w:t>пілонів. Крім того, створено туристичну навігацію біля реконструйованих сходів на Пейзажній алеї.</w:t>
      </w:r>
    </w:p>
    <w:p w:rsidR="00273640" w:rsidRPr="00AD1651" w:rsidRDefault="00273640" w:rsidP="00AD16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44011" w:rsidRPr="000140B1" w:rsidRDefault="00344011" w:rsidP="002736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140B1">
        <w:rPr>
          <w:rFonts w:ascii="Times New Roman" w:hAnsi="Times New Roman" w:cs="Times New Roman"/>
          <w:i/>
          <w:sz w:val="26"/>
          <w:szCs w:val="26"/>
          <w:lang w:val="uk-UA"/>
        </w:rPr>
        <w:t>3.4. Проведення інвестиційного конкурсу щодо благоустрою та облаштування зон відпочинку для туристів</w:t>
      </w:r>
      <w:r w:rsidR="00890CC0" w:rsidRPr="000140B1">
        <w:rPr>
          <w:rFonts w:ascii="Times New Roman" w:hAnsi="Times New Roman" w:cs="Times New Roman"/>
          <w:i/>
          <w:sz w:val="26"/>
          <w:szCs w:val="26"/>
          <w:lang w:val="uk-UA"/>
        </w:rPr>
        <w:t>:</w:t>
      </w:r>
    </w:p>
    <w:p w:rsidR="00273640" w:rsidRDefault="00273640" w:rsidP="002736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140B1">
        <w:rPr>
          <w:rFonts w:ascii="Times New Roman" w:hAnsi="Times New Roman" w:cs="Times New Roman"/>
          <w:sz w:val="26"/>
          <w:szCs w:val="26"/>
          <w:lang w:val="uk-UA"/>
        </w:rPr>
        <w:t>Не проводився</w:t>
      </w:r>
      <w:r w:rsidR="000140B1" w:rsidRPr="000140B1">
        <w:rPr>
          <w:rFonts w:ascii="Times New Roman" w:hAnsi="Times New Roman" w:cs="Times New Roman"/>
          <w:sz w:val="26"/>
          <w:szCs w:val="26"/>
          <w:lang w:val="uk-UA"/>
        </w:rPr>
        <w:t xml:space="preserve"> у зв’язку з відсутністю потенційних інвесторів</w:t>
      </w:r>
      <w:r w:rsidRPr="000140B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273640" w:rsidRPr="00273640" w:rsidRDefault="00273640" w:rsidP="002736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44011" w:rsidRPr="0061552E" w:rsidRDefault="00344011" w:rsidP="000F202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61552E">
        <w:rPr>
          <w:rFonts w:ascii="Times New Roman" w:hAnsi="Times New Roman" w:cs="Times New Roman"/>
          <w:i/>
          <w:sz w:val="26"/>
          <w:szCs w:val="26"/>
          <w:lang w:val="uk-UA"/>
        </w:rPr>
        <w:t>3.5. Створення WI-FI зони в центральній частині м. Києва біля туристично-привабливих об’єктів</w:t>
      </w:r>
      <w:r w:rsidR="00890CC0" w:rsidRPr="0061552E">
        <w:rPr>
          <w:rFonts w:ascii="Times New Roman" w:hAnsi="Times New Roman" w:cs="Times New Roman"/>
          <w:i/>
          <w:sz w:val="26"/>
          <w:szCs w:val="26"/>
          <w:lang w:val="uk-UA"/>
        </w:rPr>
        <w:t>:</w:t>
      </w:r>
    </w:p>
    <w:p w:rsidR="000F202C" w:rsidRPr="0061552E" w:rsidRDefault="00E75B61" w:rsidP="000F20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За інвестиційні кошти б</w:t>
      </w:r>
      <w:r w:rsidR="000140B1">
        <w:rPr>
          <w:rFonts w:ascii="Times New Roman" w:hAnsi="Times New Roman" w:cs="Times New Roman"/>
          <w:sz w:val="26"/>
          <w:szCs w:val="26"/>
          <w:lang w:val="uk-UA"/>
        </w:rPr>
        <w:t xml:space="preserve">іля основних туристичних об’єктів та </w:t>
      </w:r>
      <w:r w:rsidR="0061552E">
        <w:rPr>
          <w:rFonts w:ascii="Times New Roman" w:hAnsi="Times New Roman" w:cs="Times New Roman"/>
          <w:sz w:val="26"/>
          <w:szCs w:val="26"/>
          <w:lang w:val="uk-UA"/>
        </w:rPr>
        <w:t>туристичних локацій</w:t>
      </w:r>
      <w:r w:rsidR="000140B1">
        <w:rPr>
          <w:rFonts w:ascii="Times New Roman" w:hAnsi="Times New Roman" w:cs="Times New Roman"/>
          <w:sz w:val="26"/>
          <w:szCs w:val="26"/>
          <w:lang w:val="uk-UA"/>
        </w:rPr>
        <w:t xml:space="preserve"> створено можливість для під’єднання до мережі </w:t>
      </w:r>
      <w:r w:rsidR="000140B1">
        <w:rPr>
          <w:rFonts w:ascii="Times New Roman" w:hAnsi="Times New Roman" w:cs="Times New Roman"/>
          <w:sz w:val="26"/>
          <w:szCs w:val="26"/>
          <w:lang w:val="en-US"/>
        </w:rPr>
        <w:t>Internet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через </w:t>
      </w:r>
      <w:r>
        <w:rPr>
          <w:rFonts w:ascii="Times New Roman" w:hAnsi="Times New Roman" w:cs="Times New Roman"/>
          <w:sz w:val="26"/>
          <w:szCs w:val="26"/>
          <w:lang w:val="en-US"/>
        </w:rPr>
        <w:t>WI</w:t>
      </w:r>
      <w:r w:rsidRPr="0061552E">
        <w:rPr>
          <w:rFonts w:ascii="Times New Roman" w:hAnsi="Times New Roman" w:cs="Times New Roman"/>
          <w:sz w:val="26"/>
          <w:szCs w:val="26"/>
          <w:lang w:val="uk-UA"/>
        </w:rPr>
        <w:t>-</w:t>
      </w:r>
      <w:r>
        <w:rPr>
          <w:rFonts w:ascii="Times New Roman" w:hAnsi="Times New Roman" w:cs="Times New Roman"/>
          <w:sz w:val="26"/>
          <w:szCs w:val="26"/>
          <w:lang w:val="en-US"/>
        </w:rPr>
        <w:t>FI</w:t>
      </w:r>
      <w:r w:rsidR="0061552E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344011" w:rsidRPr="006E40CC" w:rsidRDefault="00344011" w:rsidP="00344011">
      <w:pPr>
        <w:ind w:firstLine="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E40CC">
        <w:rPr>
          <w:rFonts w:ascii="Times New Roman" w:hAnsi="Times New Roman" w:cs="Times New Roman"/>
          <w:b/>
          <w:sz w:val="26"/>
          <w:szCs w:val="26"/>
          <w:lang w:val="uk-UA"/>
        </w:rPr>
        <w:t>4. Вдосконалення та модернізація системи збору, обробки статистичної інформації про туристичну галузь</w:t>
      </w:r>
    </w:p>
    <w:p w:rsidR="00344011" w:rsidRDefault="00344011" w:rsidP="002819E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890CC0">
        <w:rPr>
          <w:rFonts w:ascii="Times New Roman" w:hAnsi="Times New Roman" w:cs="Times New Roman"/>
          <w:i/>
          <w:sz w:val="26"/>
          <w:szCs w:val="26"/>
          <w:lang w:val="uk-UA"/>
        </w:rPr>
        <w:t>4.1. Розробка та впровадження комплексної Програми екскурсійного обслуговування школярів з урахуванням вікових категорій</w:t>
      </w:r>
      <w:r w:rsidR="002819EC">
        <w:rPr>
          <w:rFonts w:ascii="Times New Roman" w:hAnsi="Times New Roman" w:cs="Times New Roman"/>
          <w:i/>
          <w:sz w:val="26"/>
          <w:szCs w:val="26"/>
          <w:lang w:val="uk-UA"/>
        </w:rPr>
        <w:t>:</w:t>
      </w:r>
    </w:p>
    <w:p w:rsidR="002819EC" w:rsidRDefault="002819EC" w:rsidP="002819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819EC">
        <w:rPr>
          <w:rFonts w:ascii="Times New Roman" w:hAnsi="Times New Roman" w:cs="Times New Roman"/>
          <w:sz w:val="26"/>
          <w:szCs w:val="26"/>
          <w:lang w:val="uk-UA"/>
        </w:rPr>
        <w:t xml:space="preserve">Розроблено та впроваджено комплексну Програму екскурсійного обслуговування школярів з урахуванням вікових </w:t>
      </w:r>
      <w:r>
        <w:rPr>
          <w:rFonts w:ascii="Times New Roman" w:hAnsi="Times New Roman" w:cs="Times New Roman"/>
          <w:sz w:val="26"/>
          <w:szCs w:val="26"/>
          <w:lang w:val="uk-UA"/>
        </w:rPr>
        <w:t>категорій в мобільному додатку «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Kyiv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City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Guide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». </w:t>
      </w:r>
      <w:r w:rsidRPr="002819EC">
        <w:rPr>
          <w:rFonts w:ascii="Times New Roman" w:hAnsi="Times New Roman" w:cs="Times New Roman"/>
          <w:sz w:val="26"/>
          <w:szCs w:val="26"/>
          <w:lang w:val="uk-UA"/>
        </w:rPr>
        <w:t>Розроблено 4 екскурсії на українській та англійській мовах: «Київські таємниці»,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2819EC">
        <w:rPr>
          <w:rFonts w:ascii="Times New Roman" w:hAnsi="Times New Roman" w:cs="Times New Roman"/>
          <w:sz w:val="26"/>
          <w:szCs w:val="26"/>
          <w:lang w:val="uk-UA"/>
        </w:rPr>
        <w:t>«Місця, де здійснюються бажання», «Від підземелля до веселки», «У пошуках київських звірят».</w:t>
      </w:r>
    </w:p>
    <w:p w:rsidR="002819EC" w:rsidRPr="002819EC" w:rsidRDefault="002819EC" w:rsidP="002819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E40CC" w:rsidRDefault="006E40CC" w:rsidP="006B07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90CC0">
        <w:rPr>
          <w:rFonts w:ascii="Times New Roman" w:hAnsi="Times New Roman" w:cs="Times New Roman"/>
          <w:i/>
          <w:sz w:val="26"/>
          <w:szCs w:val="26"/>
          <w:lang w:val="uk-UA"/>
        </w:rPr>
        <w:lastRenderedPageBreak/>
        <w:t>4.2. Модернізація та розвиток інформаційної системи моніторингу, статистичної обробки, аналізу і планування туристичної діяльності</w:t>
      </w:r>
      <w:r w:rsidR="0017643C">
        <w:rPr>
          <w:rFonts w:ascii="Times New Roman" w:hAnsi="Times New Roman" w:cs="Times New Roman"/>
          <w:i/>
          <w:sz w:val="26"/>
          <w:szCs w:val="26"/>
          <w:lang w:val="uk-UA"/>
        </w:rPr>
        <w:t>:</w:t>
      </w:r>
    </w:p>
    <w:p w:rsidR="006B07D9" w:rsidRDefault="006B07D9" w:rsidP="006B07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Не здійснено за відсутності коштів</w:t>
      </w:r>
      <w:r w:rsidR="00C915C7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6B07D9" w:rsidRPr="006B07D9" w:rsidRDefault="006B07D9" w:rsidP="006B07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E40CC" w:rsidRDefault="006E40CC" w:rsidP="006B07D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890CC0">
        <w:rPr>
          <w:rFonts w:ascii="Times New Roman" w:hAnsi="Times New Roman" w:cs="Times New Roman"/>
          <w:i/>
          <w:sz w:val="26"/>
          <w:szCs w:val="26"/>
          <w:lang w:val="uk-UA"/>
        </w:rPr>
        <w:t>4.3. Проведення соціологічних досліджень туристичних потоків до міста Києва</w:t>
      </w:r>
      <w:r w:rsidR="0017643C">
        <w:rPr>
          <w:rFonts w:ascii="Times New Roman" w:hAnsi="Times New Roman" w:cs="Times New Roman"/>
          <w:i/>
          <w:sz w:val="26"/>
          <w:szCs w:val="26"/>
          <w:lang w:val="uk-UA"/>
        </w:rPr>
        <w:t>:</w:t>
      </w:r>
    </w:p>
    <w:p w:rsidR="006B07D9" w:rsidRPr="006B07D9" w:rsidRDefault="006B07D9" w:rsidP="006B07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Проведено 4 </w:t>
      </w:r>
      <w:r w:rsidRPr="006B07D9">
        <w:rPr>
          <w:rFonts w:ascii="Times New Roman" w:hAnsi="Times New Roman" w:cs="Times New Roman"/>
          <w:sz w:val="26"/>
          <w:szCs w:val="26"/>
          <w:lang w:val="uk-UA"/>
        </w:rPr>
        <w:t>соціологічних досліджен</w:t>
      </w:r>
      <w:r>
        <w:rPr>
          <w:rFonts w:ascii="Times New Roman" w:hAnsi="Times New Roman" w:cs="Times New Roman"/>
          <w:sz w:val="26"/>
          <w:szCs w:val="26"/>
          <w:lang w:val="uk-UA"/>
        </w:rPr>
        <w:t>ня</w:t>
      </w:r>
      <w:r w:rsidRPr="006B07D9">
        <w:rPr>
          <w:rFonts w:ascii="Times New Roman" w:hAnsi="Times New Roman" w:cs="Times New Roman"/>
          <w:sz w:val="26"/>
          <w:szCs w:val="26"/>
          <w:lang w:val="uk-UA"/>
        </w:rPr>
        <w:t xml:space="preserve"> туристичних потоків до міста Києва</w:t>
      </w:r>
      <w:r>
        <w:rPr>
          <w:rFonts w:ascii="Times New Roman" w:hAnsi="Times New Roman" w:cs="Times New Roman"/>
          <w:sz w:val="26"/>
          <w:szCs w:val="26"/>
          <w:lang w:val="uk-UA"/>
        </w:rPr>
        <w:t>, проведено порівняльний аналіз, за результатами чого визначені пріоритетні ринки</w:t>
      </w:r>
      <w:r w:rsidR="00C915C7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6E40CC" w:rsidRDefault="006E40CC" w:rsidP="00344011">
      <w:pPr>
        <w:ind w:firstLine="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E40CC">
        <w:rPr>
          <w:rFonts w:ascii="Times New Roman" w:hAnsi="Times New Roman" w:cs="Times New Roman"/>
          <w:b/>
          <w:sz w:val="26"/>
          <w:szCs w:val="26"/>
          <w:lang w:val="uk-UA"/>
        </w:rPr>
        <w:t>5. Організація заходів з просування туристичного потенціалу міста Києва в Україні та за кордоном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:</w:t>
      </w:r>
    </w:p>
    <w:p w:rsidR="006E40CC" w:rsidRDefault="006E40CC" w:rsidP="00155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90CC0">
        <w:rPr>
          <w:rFonts w:ascii="Times New Roman" w:hAnsi="Times New Roman" w:cs="Times New Roman"/>
          <w:i/>
          <w:sz w:val="26"/>
          <w:szCs w:val="26"/>
          <w:lang w:val="uk-UA"/>
        </w:rPr>
        <w:t xml:space="preserve">5.1. Організація </w:t>
      </w:r>
      <w:proofErr w:type="spellStart"/>
      <w:r w:rsidRPr="00890CC0">
        <w:rPr>
          <w:rFonts w:ascii="Times New Roman" w:hAnsi="Times New Roman" w:cs="Times New Roman"/>
          <w:i/>
          <w:sz w:val="26"/>
          <w:szCs w:val="26"/>
          <w:lang w:val="uk-UA"/>
        </w:rPr>
        <w:t>відряджень</w:t>
      </w:r>
      <w:proofErr w:type="spellEnd"/>
      <w:r w:rsidRPr="00890CC0">
        <w:rPr>
          <w:rFonts w:ascii="Times New Roman" w:hAnsi="Times New Roman" w:cs="Times New Roman"/>
          <w:i/>
          <w:sz w:val="26"/>
          <w:szCs w:val="26"/>
          <w:lang w:val="uk-UA"/>
        </w:rPr>
        <w:t xml:space="preserve"> з участі в міжнародних виставкових заходах в Україні та за кордоном з метою популяризації туристичних можливостей м. Києва, організація та проведення семінарів, форумів, нарад, конференцій тощо з питань розвитку туризму в місті Києві</w:t>
      </w:r>
      <w:r w:rsidR="00FD7A7A">
        <w:rPr>
          <w:rFonts w:ascii="Times New Roman" w:hAnsi="Times New Roman" w:cs="Times New Roman"/>
          <w:i/>
          <w:sz w:val="26"/>
          <w:szCs w:val="26"/>
          <w:lang w:val="uk-UA"/>
        </w:rPr>
        <w:t>:</w:t>
      </w:r>
    </w:p>
    <w:p w:rsidR="00C915C7" w:rsidRDefault="00C915C7" w:rsidP="00155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Протягом 2016 – 2018 рок</w:t>
      </w:r>
      <w:r w:rsidR="00BA2585">
        <w:rPr>
          <w:rFonts w:ascii="Times New Roman" w:hAnsi="Times New Roman" w:cs="Times New Roman"/>
          <w:sz w:val="26"/>
          <w:szCs w:val="26"/>
          <w:lang w:val="uk-UA"/>
        </w:rPr>
        <w:t>ів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місто Київ було представлено на 27 виставкових заходах, в тому числі на найвідоміших у світі </w:t>
      </w:r>
      <w:r>
        <w:rPr>
          <w:rFonts w:ascii="Times New Roman" w:hAnsi="Times New Roman" w:cs="Times New Roman"/>
          <w:sz w:val="26"/>
          <w:szCs w:val="26"/>
          <w:lang w:val="en-US"/>
        </w:rPr>
        <w:t>ITB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(м. Берлін),</w:t>
      </w:r>
      <w:r w:rsidRPr="00C915C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WTM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(м. Лондон),</w:t>
      </w:r>
      <w:r w:rsidRPr="00C915C7">
        <w:rPr>
          <w:rFonts w:ascii="Times New Roman" w:hAnsi="Times New Roman" w:cs="Times New Roman"/>
          <w:sz w:val="26"/>
          <w:szCs w:val="26"/>
        </w:rPr>
        <w:t xml:space="preserve"> </w:t>
      </w:r>
      <w:r w:rsidRPr="00C915C7">
        <w:rPr>
          <w:rFonts w:ascii="Times New Roman" w:hAnsi="Times New Roman" w:cs="Times New Roman"/>
          <w:sz w:val="26"/>
          <w:szCs w:val="26"/>
          <w:lang w:val="en-US"/>
        </w:rPr>
        <w:t>IBTM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(м. Барселона) та інших. Під час виставок проводились презентації Києва,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воркшопи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, «</w:t>
      </w:r>
      <w:r>
        <w:rPr>
          <w:rFonts w:ascii="Times New Roman" w:hAnsi="Times New Roman" w:cs="Times New Roman"/>
          <w:sz w:val="26"/>
          <w:szCs w:val="26"/>
          <w:lang w:val="en-US"/>
        </w:rPr>
        <w:t>happy</w:t>
      </w:r>
      <w:r w:rsidRPr="00C915C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hours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», розповсюджувалась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промоційна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рекламно-інформаційна та сувенірна продукція.</w:t>
      </w:r>
    </w:p>
    <w:p w:rsidR="00C915C7" w:rsidRDefault="00C915C7" w:rsidP="00155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915C7">
        <w:rPr>
          <w:rFonts w:ascii="Times New Roman" w:hAnsi="Times New Roman" w:cs="Times New Roman"/>
          <w:sz w:val="26"/>
          <w:szCs w:val="26"/>
          <w:lang w:val="uk-UA"/>
        </w:rPr>
        <w:t xml:space="preserve">Організовано </w:t>
      </w:r>
      <w:r>
        <w:rPr>
          <w:rFonts w:ascii="Times New Roman" w:hAnsi="Times New Roman" w:cs="Times New Roman"/>
          <w:sz w:val="26"/>
          <w:szCs w:val="26"/>
          <w:lang w:val="uk-UA"/>
        </w:rPr>
        <w:t>6 семінарів, серед яких</w:t>
      </w:r>
      <w:r w:rsidRPr="00C915C7">
        <w:rPr>
          <w:rFonts w:ascii="Times New Roman" w:hAnsi="Times New Roman" w:cs="Times New Roman"/>
          <w:sz w:val="26"/>
          <w:szCs w:val="26"/>
          <w:lang w:val="uk-UA"/>
        </w:rPr>
        <w:t xml:space="preserve"> «Кращі практики надання екскурсійних послуг для гостей пісенного конкурсу «Євробачення» 2017</w:t>
      </w:r>
      <w:r w:rsidR="008B162E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Pr="00C915C7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8B162E">
        <w:rPr>
          <w:rFonts w:ascii="Times New Roman" w:hAnsi="Times New Roman" w:cs="Times New Roman"/>
          <w:sz w:val="26"/>
          <w:szCs w:val="26"/>
          <w:lang w:val="uk-UA"/>
        </w:rPr>
        <w:t xml:space="preserve"> «</w:t>
      </w:r>
      <w:r w:rsidR="008B162E">
        <w:rPr>
          <w:rFonts w:ascii="Times New Roman" w:hAnsi="Times New Roman" w:cs="Times New Roman"/>
          <w:sz w:val="26"/>
          <w:szCs w:val="26"/>
          <w:lang w:val="en-US"/>
        </w:rPr>
        <w:t>Level</w:t>
      </w:r>
      <w:r w:rsidR="008B162E" w:rsidRPr="008B162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B162E">
        <w:rPr>
          <w:rFonts w:ascii="Times New Roman" w:hAnsi="Times New Roman" w:cs="Times New Roman"/>
          <w:sz w:val="26"/>
          <w:szCs w:val="26"/>
          <w:lang w:val="en-US"/>
        </w:rPr>
        <w:t>UP</w:t>
      </w:r>
      <w:r w:rsidR="008B162E" w:rsidRPr="008B162E">
        <w:rPr>
          <w:rFonts w:ascii="Times New Roman" w:hAnsi="Times New Roman" w:cs="Times New Roman"/>
          <w:sz w:val="26"/>
          <w:szCs w:val="26"/>
          <w:lang w:val="uk-UA"/>
        </w:rPr>
        <w:t>!</w:t>
      </w:r>
      <w:r w:rsidR="008B162E">
        <w:rPr>
          <w:rFonts w:ascii="Times New Roman" w:hAnsi="Times New Roman" w:cs="Times New Roman"/>
          <w:sz w:val="26"/>
          <w:szCs w:val="26"/>
          <w:lang w:val="uk-UA"/>
        </w:rPr>
        <w:t>»,</w:t>
      </w:r>
      <w:r w:rsidRPr="00C915C7">
        <w:rPr>
          <w:rFonts w:ascii="Times New Roman" w:hAnsi="Times New Roman" w:cs="Times New Roman"/>
          <w:sz w:val="26"/>
          <w:szCs w:val="26"/>
          <w:lang w:val="uk-UA"/>
        </w:rPr>
        <w:t xml:space="preserve"> «Маркетинг туристичного продукту м. </w:t>
      </w:r>
      <w:r w:rsidR="008B162E">
        <w:rPr>
          <w:rFonts w:ascii="Times New Roman" w:hAnsi="Times New Roman" w:cs="Times New Roman"/>
          <w:sz w:val="26"/>
          <w:szCs w:val="26"/>
          <w:lang w:val="uk-UA"/>
        </w:rPr>
        <w:t>Києва», «</w:t>
      </w:r>
      <w:proofErr w:type="spellStart"/>
      <w:r w:rsidR="008B162E">
        <w:rPr>
          <w:rFonts w:ascii="Times New Roman" w:hAnsi="Times New Roman" w:cs="Times New Roman"/>
          <w:sz w:val="26"/>
          <w:szCs w:val="26"/>
          <w:lang w:val="uk-UA"/>
        </w:rPr>
        <w:t>Kyiv</w:t>
      </w:r>
      <w:proofErr w:type="spellEnd"/>
      <w:r w:rsidR="008B162E">
        <w:rPr>
          <w:rFonts w:ascii="Times New Roman" w:hAnsi="Times New Roman" w:cs="Times New Roman"/>
          <w:sz w:val="26"/>
          <w:szCs w:val="26"/>
          <w:lang w:val="uk-UA"/>
        </w:rPr>
        <w:t xml:space="preserve"> – </w:t>
      </w:r>
      <w:proofErr w:type="spellStart"/>
      <w:r w:rsidR="008B162E">
        <w:rPr>
          <w:rFonts w:ascii="Times New Roman" w:hAnsi="Times New Roman" w:cs="Times New Roman"/>
          <w:sz w:val="26"/>
          <w:szCs w:val="26"/>
          <w:lang w:val="uk-UA"/>
        </w:rPr>
        <w:t>nice</w:t>
      </w:r>
      <w:proofErr w:type="spellEnd"/>
      <w:r w:rsidR="008B162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B162E">
        <w:rPr>
          <w:rFonts w:ascii="Times New Roman" w:hAnsi="Times New Roman" w:cs="Times New Roman"/>
          <w:sz w:val="26"/>
          <w:szCs w:val="26"/>
          <w:lang w:val="uk-UA"/>
        </w:rPr>
        <w:t>for</w:t>
      </w:r>
      <w:proofErr w:type="spellEnd"/>
      <w:r w:rsidR="008B162E">
        <w:rPr>
          <w:rFonts w:ascii="Times New Roman" w:hAnsi="Times New Roman" w:cs="Times New Roman"/>
          <w:sz w:val="26"/>
          <w:szCs w:val="26"/>
          <w:lang w:val="uk-UA"/>
        </w:rPr>
        <w:t xml:space="preserve"> MICE» та інші.</w:t>
      </w:r>
    </w:p>
    <w:p w:rsidR="001553ED" w:rsidRDefault="001553ED" w:rsidP="00155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Проведено 2 конференції на теми</w:t>
      </w:r>
      <w:r w:rsidRPr="001553ED">
        <w:rPr>
          <w:rFonts w:ascii="Times New Roman" w:hAnsi="Times New Roman" w:cs="Times New Roman"/>
          <w:sz w:val="26"/>
          <w:szCs w:val="26"/>
          <w:lang w:val="uk-UA"/>
        </w:rPr>
        <w:t xml:space="preserve"> «Створення та організація робот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и комунальних ТІЦ» </w:t>
      </w:r>
      <w:r w:rsidRPr="001553ED">
        <w:rPr>
          <w:rFonts w:ascii="Times New Roman" w:hAnsi="Times New Roman" w:cs="Times New Roman"/>
          <w:sz w:val="26"/>
          <w:szCs w:val="26"/>
          <w:lang w:val="uk-UA"/>
        </w:rPr>
        <w:t>та «Досвід організації екскурсійної діяльності та створення дієвого механізму контролю за наданням якісних екскурсійних послуг»</w:t>
      </w:r>
      <w:r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1553ED" w:rsidRPr="00C915C7" w:rsidRDefault="001553ED" w:rsidP="00155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D7A7A" w:rsidRDefault="006E40CC" w:rsidP="001553E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890CC0">
        <w:rPr>
          <w:rFonts w:ascii="Times New Roman" w:hAnsi="Times New Roman" w:cs="Times New Roman"/>
          <w:i/>
          <w:sz w:val="26"/>
          <w:szCs w:val="26"/>
          <w:lang w:val="uk-UA"/>
        </w:rPr>
        <w:t xml:space="preserve">5.2. Організація </w:t>
      </w:r>
      <w:proofErr w:type="spellStart"/>
      <w:r w:rsidRPr="00890CC0">
        <w:rPr>
          <w:rFonts w:ascii="Times New Roman" w:hAnsi="Times New Roman" w:cs="Times New Roman"/>
          <w:i/>
          <w:sz w:val="26"/>
          <w:szCs w:val="26"/>
          <w:lang w:val="uk-UA"/>
        </w:rPr>
        <w:t>відряджень</w:t>
      </w:r>
      <w:proofErr w:type="spellEnd"/>
      <w:r w:rsidRPr="00890CC0">
        <w:rPr>
          <w:rFonts w:ascii="Times New Roman" w:hAnsi="Times New Roman" w:cs="Times New Roman"/>
          <w:i/>
          <w:sz w:val="26"/>
          <w:szCs w:val="26"/>
          <w:lang w:val="uk-UA"/>
        </w:rPr>
        <w:t xml:space="preserve"> з проведення </w:t>
      </w:r>
      <w:proofErr w:type="spellStart"/>
      <w:r w:rsidRPr="00890CC0">
        <w:rPr>
          <w:rFonts w:ascii="Times New Roman" w:hAnsi="Times New Roman" w:cs="Times New Roman"/>
          <w:i/>
          <w:sz w:val="26"/>
          <w:szCs w:val="26"/>
          <w:lang w:val="uk-UA"/>
        </w:rPr>
        <w:t>промо</w:t>
      </w:r>
      <w:proofErr w:type="spellEnd"/>
      <w:r w:rsidRPr="00890CC0">
        <w:rPr>
          <w:rFonts w:ascii="Times New Roman" w:hAnsi="Times New Roman" w:cs="Times New Roman"/>
          <w:i/>
          <w:sz w:val="26"/>
          <w:szCs w:val="26"/>
          <w:lang w:val="uk-UA"/>
        </w:rPr>
        <w:t>-турів за кордоном для презентації туристичного потенціалу міста Києва, організації рекламно-інформаційних турів для представників туристичної галузі та ЗМІ до міста Києва, організації обміну досвідом щодо розвитку туристичної галузі з іншими столицями, вивчення досвіду муніципального фінансового забезпечення туристичної сфери</w:t>
      </w:r>
      <w:r w:rsidR="00FD7A7A">
        <w:rPr>
          <w:rFonts w:ascii="Times New Roman" w:hAnsi="Times New Roman" w:cs="Times New Roman"/>
          <w:i/>
          <w:sz w:val="26"/>
          <w:szCs w:val="26"/>
          <w:lang w:val="uk-UA"/>
        </w:rPr>
        <w:t>:</w:t>
      </w:r>
    </w:p>
    <w:p w:rsidR="00FD7A7A" w:rsidRDefault="00FD7A7A" w:rsidP="00155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Протягом дії Програми проведено </w:t>
      </w:r>
      <w:r w:rsidR="001553ED">
        <w:rPr>
          <w:rFonts w:ascii="Times New Roman" w:hAnsi="Times New Roman" w:cs="Times New Roman"/>
          <w:sz w:val="26"/>
          <w:szCs w:val="26"/>
          <w:lang w:val="uk-UA"/>
        </w:rPr>
        <w:t>16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пр</w:t>
      </w:r>
      <w:r w:rsidR="002819EC">
        <w:rPr>
          <w:rFonts w:ascii="Times New Roman" w:hAnsi="Times New Roman" w:cs="Times New Roman"/>
          <w:sz w:val="26"/>
          <w:szCs w:val="26"/>
          <w:lang w:val="uk-UA"/>
        </w:rPr>
        <w:t>о</w:t>
      </w:r>
      <w:r>
        <w:rPr>
          <w:rFonts w:ascii="Times New Roman" w:hAnsi="Times New Roman" w:cs="Times New Roman"/>
          <w:sz w:val="26"/>
          <w:szCs w:val="26"/>
          <w:lang w:val="uk-UA"/>
        </w:rPr>
        <w:t>мо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-турів</w:t>
      </w:r>
      <w:r w:rsidR="005F0CEA">
        <w:rPr>
          <w:rFonts w:ascii="Times New Roman" w:hAnsi="Times New Roman" w:cs="Times New Roman"/>
          <w:sz w:val="26"/>
          <w:szCs w:val="26"/>
          <w:lang w:val="uk-UA"/>
        </w:rPr>
        <w:t xml:space="preserve">, прес-турів, </w:t>
      </w:r>
      <w:proofErr w:type="spellStart"/>
      <w:r w:rsidR="005F0CEA">
        <w:rPr>
          <w:rFonts w:ascii="Times New Roman" w:hAnsi="Times New Roman" w:cs="Times New Roman"/>
          <w:sz w:val="26"/>
          <w:szCs w:val="26"/>
          <w:lang w:val="uk-UA"/>
        </w:rPr>
        <w:t>фам-трипів</w:t>
      </w:r>
      <w:proofErr w:type="spellEnd"/>
      <w:r w:rsidR="008B162E">
        <w:rPr>
          <w:rFonts w:ascii="Times New Roman" w:hAnsi="Times New Roman" w:cs="Times New Roman"/>
          <w:sz w:val="26"/>
          <w:szCs w:val="26"/>
          <w:lang w:val="uk-UA"/>
        </w:rPr>
        <w:t xml:space="preserve"> для іноземних та вітчизняних ЗМІ, журналістів, туроператорів, </w:t>
      </w:r>
      <w:proofErr w:type="spellStart"/>
      <w:r w:rsidR="008B162E">
        <w:rPr>
          <w:rFonts w:ascii="Times New Roman" w:hAnsi="Times New Roman" w:cs="Times New Roman"/>
          <w:sz w:val="26"/>
          <w:szCs w:val="26"/>
          <w:lang w:val="uk-UA"/>
        </w:rPr>
        <w:t>блогерів</w:t>
      </w:r>
      <w:proofErr w:type="spellEnd"/>
      <w:r w:rsidR="008B162E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1553ED" w:rsidRPr="002819EC" w:rsidRDefault="001553ED" w:rsidP="001553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E40CC" w:rsidRDefault="006E40CC" w:rsidP="006565A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890CC0">
        <w:rPr>
          <w:rFonts w:ascii="Times New Roman" w:hAnsi="Times New Roman" w:cs="Times New Roman"/>
          <w:i/>
          <w:sz w:val="26"/>
          <w:szCs w:val="26"/>
          <w:lang w:val="uk-UA"/>
        </w:rPr>
        <w:t>5.3. Проведення щорічних спортивно-оздоровчих туристичних та фізкультурно-масових заходів і змагань (чемпіонати, легкоатлетичні забіги, велогонки, заходи з техніки різних видів активного туризму тощо)</w:t>
      </w:r>
      <w:r w:rsidR="006565AA">
        <w:rPr>
          <w:rFonts w:ascii="Times New Roman" w:hAnsi="Times New Roman" w:cs="Times New Roman"/>
          <w:i/>
          <w:sz w:val="26"/>
          <w:szCs w:val="26"/>
          <w:lang w:val="uk-UA"/>
        </w:rPr>
        <w:t>:</w:t>
      </w:r>
    </w:p>
    <w:p w:rsidR="006565AA" w:rsidRPr="00F43B5C" w:rsidRDefault="00F43B5C" w:rsidP="006565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43B5C">
        <w:rPr>
          <w:rFonts w:ascii="Times New Roman" w:hAnsi="Times New Roman" w:cs="Times New Roman"/>
          <w:sz w:val="26"/>
          <w:szCs w:val="26"/>
          <w:lang w:val="uk-UA"/>
        </w:rPr>
        <w:t>В рамках проведення спортивних подій</w:t>
      </w:r>
      <w:r w:rsidR="006565AA" w:rsidRPr="00F43B5C">
        <w:rPr>
          <w:rFonts w:ascii="Times New Roman" w:hAnsi="Times New Roman" w:cs="Times New Roman"/>
          <w:sz w:val="26"/>
          <w:szCs w:val="26"/>
          <w:lang w:val="uk-UA"/>
        </w:rPr>
        <w:t xml:space="preserve"> «</w:t>
      </w:r>
      <w:proofErr w:type="spellStart"/>
      <w:r w:rsidR="00C650E4" w:rsidRPr="00F43B5C">
        <w:rPr>
          <w:rFonts w:ascii="Times New Roman" w:hAnsi="Times New Roman" w:cs="Times New Roman"/>
          <w:sz w:val="26"/>
          <w:szCs w:val="26"/>
          <w:lang w:val="uk-UA"/>
        </w:rPr>
        <w:t>Nova</w:t>
      </w:r>
      <w:proofErr w:type="spellEnd"/>
      <w:r w:rsidR="00C650E4" w:rsidRPr="00F43B5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C650E4" w:rsidRPr="00F43B5C">
        <w:rPr>
          <w:rFonts w:ascii="Times New Roman" w:hAnsi="Times New Roman" w:cs="Times New Roman"/>
          <w:sz w:val="26"/>
          <w:szCs w:val="26"/>
          <w:lang w:val="uk-UA"/>
        </w:rPr>
        <w:t>Poshta</w:t>
      </w:r>
      <w:proofErr w:type="spellEnd"/>
      <w:r w:rsidR="00C650E4" w:rsidRPr="00F43B5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C650E4" w:rsidRPr="00F43B5C">
        <w:rPr>
          <w:rFonts w:ascii="Times New Roman" w:hAnsi="Times New Roman" w:cs="Times New Roman"/>
          <w:sz w:val="26"/>
          <w:szCs w:val="26"/>
          <w:lang w:val="uk-UA"/>
        </w:rPr>
        <w:t>Half</w:t>
      </w:r>
      <w:proofErr w:type="spellEnd"/>
      <w:r w:rsidR="00C650E4" w:rsidRPr="00F43B5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C650E4" w:rsidRPr="00F43B5C">
        <w:rPr>
          <w:rFonts w:ascii="Times New Roman" w:hAnsi="Times New Roman" w:cs="Times New Roman"/>
          <w:sz w:val="26"/>
          <w:szCs w:val="26"/>
          <w:lang w:val="uk-UA"/>
        </w:rPr>
        <w:t>Marathon</w:t>
      </w:r>
      <w:proofErr w:type="spellEnd"/>
      <w:r w:rsidR="006565AA" w:rsidRPr="00F43B5C">
        <w:rPr>
          <w:rFonts w:ascii="Times New Roman" w:hAnsi="Times New Roman" w:cs="Times New Roman"/>
          <w:sz w:val="26"/>
          <w:szCs w:val="26"/>
          <w:lang w:val="uk-UA"/>
        </w:rPr>
        <w:t>»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565AA" w:rsidRPr="00F43B5C">
        <w:rPr>
          <w:rFonts w:ascii="Times New Roman" w:hAnsi="Times New Roman" w:cs="Times New Roman"/>
          <w:sz w:val="26"/>
          <w:szCs w:val="26"/>
          <w:lang w:val="uk-UA"/>
        </w:rPr>
        <w:t>та «</w:t>
      </w:r>
      <w:proofErr w:type="spellStart"/>
      <w:r w:rsidR="006565AA" w:rsidRPr="00F43B5C">
        <w:rPr>
          <w:rFonts w:ascii="Times New Roman" w:hAnsi="Times New Roman" w:cs="Times New Roman"/>
          <w:sz w:val="26"/>
          <w:szCs w:val="26"/>
          <w:lang w:val="uk-UA"/>
        </w:rPr>
        <w:t>Kyiv</w:t>
      </w:r>
      <w:proofErr w:type="spellEnd"/>
      <w:r w:rsidR="006565AA" w:rsidRPr="00F43B5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6565AA" w:rsidRPr="00F43B5C">
        <w:rPr>
          <w:rFonts w:ascii="Times New Roman" w:hAnsi="Times New Roman" w:cs="Times New Roman"/>
          <w:sz w:val="26"/>
          <w:szCs w:val="26"/>
          <w:lang w:val="uk-UA"/>
        </w:rPr>
        <w:t>City</w:t>
      </w:r>
      <w:proofErr w:type="spellEnd"/>
      <w:r w:rsidR="006565AA" w:rsidRPr="00F43B5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6565AA" w:rsidRPr="00F43B5C">
        <w:rPr>
          <w:rFonts w:ascii="Times New Roman" w:hAnsi="Times New Roman" w:cs="Times New Roman"/>
          <w:sz w:val="26"/>
          <w:szCs w:val="26"/>
          <w:lang w:val="uk-UA"/>
        </w:rPr>
        <w:t>Marathon</w:t>
      </w:r>
      <w:proofErr w:type="spellEnd"/>
      <w:r w:rsidR="006565AA" w:rsidRPr="00F43B5C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C650E4" w:rsidRPr="00F43B5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43B5C">
        <w:rPr>
          <w:rFonts w:ascii="Times New Roman" w:hAnsi="Times New Roman" w:cs="Times New Roman"/>
          <w:sz w:val="26"/>
          <w:szCs w:val="26"/>
          <w:lang w:val="uk-UA"/>
        </w:rPr>
        <w:t xml:space="preserve">організовано </w:t>
      </w:r>
      <w:r>
        <w:rPr>
          <w:rFonts w:ascii="Times New Roman" w:hAnsi="Times New Roman" w:cs="Times New Roman"/>
          <w:sz w:val="26"/>
          <w:szCs w:val="26"/>
          <w:lang w:val="uk-UA"/>
        </w:rPr>
        <w:t>44 розважальні локації.</w:t>
      </w:r>
    </w:p>
    <w:p w:rsidR="006565AA" w:rsidRPr="006565AA" w:rsidRDefault="006565AA" w:rsidP="006565A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  <w:lang w:val="uk-UA"/>
        </w:rPr>
      </w:pPr>
    </w:p>
    <w:p w:rsidR="00E241E4" w:rsidRDefault="00E241E4" w:rsidP="006E40CC">
      <w:pPr>
        <w:ind w:firstLine="567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890CC0">
        <w:rPr>
          <w:rFonts w:ascii="Times New Roman" w:hAnsi="Times New Roman" w:cs="Times New Roman"/>
          <w:i/>
          <w:sz w:val="26"/>
          <w:szCs w:val="26"/>
          <w:lang w:val="uk-UA"/>
        </w:rPr>
        <w:t>5.4. Підготовка та проведення заходів до Всесвітнього Дня туризму та Дня туризму в Україні</w:t>
      </w:r>
      <w:r w:rsidR="0027704B">
        <w:rPr>
          <w:rFonts w:ascii="Times New Roman" w:hAnsi="Times New Roman" w:cs="Times New Roman"/>
          <w:i/>
          <w:sz w:val="26"/>
          <w:szCs w:val="26"/>
          <w:lang w:val="uk-UA"/>
        </w:rPr>
        <w:t>:</w:t>
      </w:r>
    </w:p>
    <w:p w:rsidR="0027704B" w:rsidRPr="0027704B" w:rsidRDefault="0027704B" w:rsidP="006E40CC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7704B">
        <w:rPr>
          <w:rFonts w:ascii="Times New Roman" w:hAnsi="Times New Roman" w:cs="Times New Roman"/>
          <w:sz w:val="26"/>
          <w:szCs w:val="26"/>
          <w:lang w:val="uk-UA"/>
        </w:rPr>
        <w:t xml:space="preserve">В рамках відзначення Всесвітнього Дня туризму та Дня туризму в Україні та з метою визначення кращих підприємств і організацій туристичної сфери та їх заохочення проведено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3 </w:t>
      </w:r>
      <w:r w:rsidRPr="0027704B">
        <w:rPr>
          <w:rFonts w:ascii="Times New Roman" w:hAnsi="Times New Roman" w:cs="Times New Roman"/>
          <w:sz w:val="26"/>
          <w:szCs w:val="26"/>
          <w:lang w:val="uk-UA"/>
        </w:rPr>
        <w:t>церемоні</w:t>
      </w:r>
      <w:r>
        <w:rPr>
          <w:rFonts w:ascii="Times New Roman" w:hAnsi="Times New Roman" w:cs="Times New Roman"/>
          <w:sz w:val="26"/>
          <w:szCs w:val="26"/>
          <w:lang w:val="uk-UA"/>
        </w:rPr>
        <w:t>ї</w:t>
      </w:r>
      <w:r w:rsidRPr="0027704B">
        <w:rPr>
          <w:rFonts w:ascii="Times New Roman" w:hAnsi="Times New Roman" w:cs="Times New Roman"/>
          <w:sz w:val="26"/>
          <w:szCs w:val="26"/>
          <w:lang w:val="uk-UA"/>
        </w:rPr>
        <w:t xml:space="preserve"> нагород</w:t>
      </w:r>
      <w:r>
        <w:rPr>
          <w:rFonts w:ascii="Times New Roman" w:hAnsi="Times New Roman" w:cs="Times New Roman"/>
          <w:sz w:val="26"/>
          <w:szCs w:val="26"/>
          <w:lang w:val="uk-UA"/>
        </w:rPr>
        <w:t>ження  «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Kyiv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tourism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awards</w:t>
      </w:r>
      <w:proofErr w:type="spellEnd"/>
      <w:r w:rsidRPr="0027704B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ED4FCD">
        <w:rPr>
          <w:rFonts w:ascii="Times New Roman" w:hAnsi="Times New Roman" w:cs="Times New Roman"/>
          <w:sz w:val="26"/>
          <w:szCs w:val="26"/>
          <w:lang w:val="uk-UA"/>
        </w:rPr>
        <w:t xml:space="preserve"> (2016, 2017, 2018 роки).</w:t>
      </w:r>
    </w:p>
    <w:p w:rsidR="00E241E4" w:rsidRDefault="00E241E4" w:rsidP="00C1023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890CC0">
        <w:rPr>
          <w:rFonts w:ascii="Times New Roman" w:hAnsi="Times New Roman" w:cs="Times New Roman"/>
          <w:i/>
          <w:sz w:val="26"/>
          <w:szCs w:val="26"/>
          <w:lang w:val="uk-UA"/>
        </w:rPr>
        <w:t>5.5. Відновлення асоційованого членства у Всесвітній туристичній організації (ЮНВТО) (оплата боргу по членським внескам за 2012-2016 роки та щорічного членського внеску)</w:t>
      </w:r>
      <w:r w:rsidR="00C10237">
        <w:rPr>
          <w:rFonts w:ascii="Times New Roman" w:hAnsi="Times New Roman" w:cs="Times New Roman"/>
          <w:i/>
          <w:sz w:val="26"/>
          <w:szCs w:val="26"/>
          <w:lang w:val="uk-UA"/>
        </w:rPr>
        <w:t>:</w:t>
      </w:r>
    </w:p>
    <w:p w:rsidR="00C10237" w:rsidRDefault="00C10237" w:rsidP="00C102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0237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Підготовлено проект </w:t>
      </w:r>
      <w:r>
        <w:rPr>
          <w:rFonts w:ascii="Times New Roman" w:hAnsi="Times New Roman" w:cs="Times New Roman"/>
          <w:sz w:val="26"/>
          <w:szCs w:val="26"/>
          <w:lang w:val="uk-UA"/>
        </w:rPr>
        <w:t>р</w:t>
      </w:r>
      <w:r w:rsidRPr="00C10237">
        <w:rPr>
          <w:rFonts w:ascii="Times New Roman" w:hAnsi="Times New Roman" w:cs="Times New Roman"/>
          <w:sz w:val="26"/>
          <w:szCs w:val="26"/>
          <w:lang w:val="uk-UA"/>
        </w:rPr>
        <w:t>озпорядження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виконавчого органу Київської міської ради (Київської міської державної адміністрації) про сплату членських внесків за 7 років (борг з 2012 року)</w:t>
      </w:r>
      <w:r w:rsidRPr="00C10237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val="uk-UA"/>
        </w:rPr>
        <w:t>який</w:t>
      </w:r>
      <w:r w:rsidRPr="00C1023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було </w:t>
      </w:r>
      <w:proofErr w:type="spellStart"/>
      <w:r w:rsidRPr="00C10237">
        <w:rPr>
          <w:rFonts w:ascii="Times New Roman" w:hAnsi="Times New Roman" w:cs="Times New Roman"/>
          <w:sz w:val="26"/>
          <w:szCs w:val="26"/>
          <w:lang w:val="uk-UA"/>
        </w:rPr>
        <w:t>відхилено</w:t>
      </w:r>
      <w:proofErr w:type="spellEnd"/>
      <w:r w:rsidRPr="00C10237">
        <w:rPr>
          <w:rFonts w:ascii="Times New Roman" w:hAnsi="Times New Roman" w:cs="Times New Roman"/>
          <w:sz w:val="26"/>
          <w:szCs w:val="26"/>
          <w:lang w:val="uk-UA"/>
        </w:rPr>
        <w:t xml:space="preserve"> через </w:t>
      </w:r>
      <w:r w:rsidR="00F330B8">
        <w:rPr>
          <w:rFonts w:ascii="Times New Roman" w:hAnsi="Times New Roman" w:cs="Times New Roman"/>
          <w:sz w:val="26"/>
          <w:szCs w:val="26"/>
          <w:lang w:val="uk-UA"/>
        </w:rPr>
        <w:t>брак коштів.</w:t>
      </w:r>
    </w:p>
    <w:p w:rsidR="00C10237" w:rsidRPr="00C10237" w:rsidRDefault="00C10237" w:rsidP="00C102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241E4" w:rsidRDefault="00E241E4" w:rsidP="00F330B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890CC0">
        <w:rPr>
          <w:rFonts w:ascii="Times New Roman" w:hAnsi="Times New Roman" w:cs="Times New Roman"/>
          <w:i/>
          <w:sz w:val="26"/>
          <w:szCs w:val="26"/>
          <w:lang w:val="uk-UA"/>
        </w:rPr>
        <w:t xml:space="preserve">5.6. Організація та проведення конкурсів на кращий </w:t>
      </w:r>
      <w:proofErr w:type="spellStart"/>
      <w:r w:rsidRPr="00890CC0">
        <w:rPr>
          <w:rFonts w:ascii="Times New Roman" w:hAnsi="Times New Roman" w:cs="Times New Roman"/>
          <w:i/>
          <w:sz w:val="26"/>
          <w:szCs w:val="26"/>
          <w:lang w:val="uk-UA"/>
        </w:rPr>
        <w:t>промоційний</w:t>
      </w:r>
      <w:proofErr w:type="spellEnd"/>
      <w:r w:rsidRPr="00890CC0">
        <w:rPr>
          <w:rFonts w:ascii="Times New Roman" w:hAnsi="Times New Roman" w:cs="Times New Roman"/>
          <w:i/>
          <w:sz w:val="26"/>
          <w:szCs w:val="26"/>
          <w:lang w:val="uk-UA"/>
        </w:rPr>
        <w:t xml:space="preserve"> дизайн м. Києва, екскурсію, туристичний відеоролик про м. Київ, київський туристичний арт-об'єкт</w:t>
      </w:r>
      <w:r w:rsidR="00F330B8">
        <w:rPr>
          <w:rFonts w:ascii="Times New Roman" w:hAnsi="Times New Roman" w:cs="Times New Roman"/>
          <w:i/>
          <w:sz w:val="26"/>
          <w:szCs w:val="26"/>
          <w:lang w:val="uk-UA"/>
        </w:rPr>
        <w:t>:</w:t>
      </w:r>
    </w:p>
    <w:p w:rsidR="00F330B8" w:rsidRDefault="00F330B8" w:rsidP="00F33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330B8">
        <w:rPr>
          <w:rFonts w:ascii="Times New Roman" w:hAnsi="Times New Roman" w:cs="Times New Roman"/>
          <w:sz w:val="26"/>
          <w:szCs w:val="26"/>
          <w:lang w:val="uk-UA"/>
        </w:rPr>
        <w:t>Випущено розп</w:t>
      </w:r>
      <w:r>
        <w:rPr>
          <w:rFonts w:ascii="Times New Roman" w:hAnsi="Times New Roman" w:cs="Times New Roman"/>
          <w:sz w:val="26"/>
          <w:szCs w:val="26"/>
          <w:lang w:val="uk-UA"/>
        </w:rPr>
        <w:t>орядження від 13.03.2018 № 403 «Про проведення конкурсу «</w:t>
      </w:r>
      <w:r w:rsidRPr="00F330B8">
        <w:rPr>
          <w:rFonts w:ascii="Times New Roman" w:hAnsi="Times New Roman" w:cs="Times New Roman"/>
          <w:sz w:val="26"/>
          <w:szCs w:val="26"/>
          <w:lang w:val="uk-UA"/>
        </w:rPr>
        <w:t>Т</w:t>
      </w:r>
      <w:r>
        <w:rPr>
          <w:rFonts w:ascii="Times New Roman" w:hAnsi="Times New Roman" w:cs="Times New Roman"/>
          <w:sz w:val="26"/>
          <w:szCs w:val="26"/>
          <w:lang w:val="uk-UA"/>
        </w:rPr>
        <w:t>алісман міста Києва у 2018 році»</w:t>
      </w:r>
      <w:r w:rsidRPr="00F330B8">
        <w:rPr>
          <w:rFonts w:ascii="Times New Roman" w:hAnsi="Times New Roman" w:cs="Times New Roman"/>
          <w:sz w:val="26"/>
          <w:szCs w:val="26"/>
          <w:lang w:val="uk-UA"/>
        </w:rPr>
        <w:t>. Створено сайт для он-лайн голосув</w:t>
      </w:r>
      <w:r w:rsidR="00532289">
        <w:rPr>
          <w:rFonts w:ascii="Times New Roman" w:hAnsi="Times New Roman" w:cs="Times New Roman"/>
          <w:sz w:val="26"/>
          <w:szCs w:val="26"/>
          <w:lang w:val="uk-UA"/>
        </w:rPr>
        <w:t>ання для вибору переможця. Журі</w:t>
      </w:r>
      <w:r w:rsidRPr="00F330B8">
        <w:rPr>
          <w:rFonts w:ascii="Times New Roman" w:hAnsi="Times New Roman" w:cs="Times New Roman"/>
          <w:sz w:val="26"/>
          <w:szCs w:val="26"/>
          <w:lang w:val="uk-UA"/>
        </w:rPr>
        <w:t xml:space="preserve"> прийнято рішення про неможливість визначення переможця.</w:t>
      </w:r>
    </w:p>
    <w:p w:rsidR="00F330B8" w:rsidRPr="00F330B8" w:rsidRDefault="00F330B8" w:rsidP="00F330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87DFD" w:rsidRDefault="00F87DFD" w:rsidP="0053228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87DFD">
        <w:rPr>
          <w:rFonts w:ascii="Times New Roman" w:hAnsi="Times New Roman" w:cs="Times New Roman"/>
          <w:b/>
          <w:sz w:val="26"/>
          <w:szCs w:val="26"/>
          <w:lang w:val="uk-UA"/>
        </w:rPr>
        <w:t>6. Розвиток та вдосконалення роботи КП «КМ ТІЦ»</w:t>
      </w:r>
    </w:p>
    <w:p w:rsidR="00F87DFD" w:rsidRDefault="00F87DFD" w:rsidP="0013224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890CC0">
        <w:rPr>
          <w:rFonts w:ascii="Times New Roman" w:hAnsi="Times New Roman" w:cs="Times New Roman"/>
          <w:i/>
          <w:sz w:val="26"/>
          <w:szCs w:val="26"/>
          <w:lang w:val="uk-UA"/>
        </w:rPr>
        <w:t>6.1. Створення та забезпечення роботи  гарячої телефонної лінії для туристів</w:t>
      </w:r>
      <w:r w:rsidR="00132241">
        <w:rPr>
          <w:rFonts w:ascii="Times New Roman" w:hAnsi="Times New Roman" w:cs="Times New Roman"/>
          <w:i/>
          <w:sz w:val="26"/>
          <w:szCs w:val="26"/>
          <w:lang w:val="uk-UA"/>
        </w:rPr>
        <w:t xml:space="preserve"> та </w:t>
      </w:r>
      <w:r w:rsidR="00132241" w:rsidRPr="00890CC0">
        <w:rPr>
          <w:rFonts w:ascii="Times New Roman" w:hAnsi="Times New Roman" w:cs="Times New Roman"/>
          <w:i/>
          <w:sz w:val="26"/>
          <w:szCs w:val="26"/>
          <w:lang w:val="uk-UA"/>
        </w:rPr>
        <w:t>6.2. Створення служби юридичної та інформаційної допомоги туристам у місті Києві</w:t>
      </w:r>
      <w:r w:rsidR="00132241">
        <w:rPr>
          <w:rFonts w:ascii="Times New Roman" w:hAnsi="Times New Roman" w:cs="Times New Roman"/>
          <w:i/>
          <w:sz w:val="26"/>
          <w:szCs w:val="26"/>
          <w:lang w:val="uk-UA"/>
        </w:rPr>
        <w:t>:</w:t>
      </w:r>
    </w:p>
    <w:p w:rsidR="00132241" w:rsidRPr="00132241" w:rsidRDefault="00132241" w:rsidP="005322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32241">
        <w:rPr>
          <w:rFonts w:ascii="Times New Roman" w:hAnsi="Times New Roman" w:cs="Times New Roman"/>
          <w:sz w:val="26"/>
          <w:szCs w:val="26"/>
          <w:lang w:val="uk-UA"/>
        </w:rPr>
        <w:t>Створено та забезпечено функціонування гарячої телефонної лінії та юридичної підтримки туристів «61-16».</w:t>
      </w:r>
    </w:p>
    <w:p w:rsidR="00F87DFD" w:rsidRDefault="00532289" w:rsidP="0053228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>
        <w:rPr>
          <w:rFonts w:ascii="Times New Roman" w:hAnsi="Times New Roman" w:cs="Times New Roman"/>
          <w:i/>
          <w:sz w:val="26"/>
          <w:szCs w:val="26"/>
          <w:lang w:val="uk-UA"/>
        </w:rPr>
        <w:t>6.3. Витрати на діяльність КП «</w:t>
      </w:r>
      <w:r w:rsidR="00F87DFD" w:rsidRPr="00890CC0">
        <w:rPr>
          <w:rFonts w:ascii="Times New Roman" w:hAnsi="Times New Roman" w:cs="Times New Roman"/>
          <w:i/>
          <w:sz w:val="26"/>
          <w:szCs w:val="26"/>
          <w:lang w:val="uk-UA"/>
        </w:rPr>
        <w:t>Київський міський туристичн</w:t>
      </w:r>
      <w:r>
        <w:rPr>
          <w:rFonts w:ascii="Times New Roman" w:hAnsi="Times New Roman" w:cs="Times New Roman"/>
          <w:i/>
          <w:sz w:val="26"/>
          <w:szCs w:val="26"/>
          <w:lang w:val="uk-UA"/>
        </w:rPr>
        <w:t>о-інформаційний центр»</w:t>
      </w:r>
      <w:r w:rsidR="00132241">
        <w:rPr>
          <w:rFonts w:ascii="Times New Roman" w:hAnsi="Times New Roman" w:cs="Times New Roman"/>
          <w:i/>
          <w:sz w:val="26"/>
          <w:szCs w:val="26"/>
          <w:lang w:val="uk-UA"/>
        </w:rPr>
        <w:t>:</w:t>
      </w:r>
    </w:p>
    <w:p w:rsidR="00836E64" w:rsidRPr="00836E64" w:rsidRDefault="00836E64" w:rsidP="005322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Забезпечувалась діяльність </w:t>
      </w:r>
      <w:r w:rsidRPr="00836E64">
        <w:rPr>
          <w:rFonts w:ascii="Times New Roman" w:hAnsi="Times New Roman" w:cs="Times New Roman"/>
          <w:sz w:val="26"/>
          <w:szCs w:val="26"/>
          <w:lang w:val="uk-UA"/>
        </w:rPr>
        <w:t>КП «Київський міський туристично-інформаційний центр»</w:t>
      </w:r>
      <w:r>
        <w:rPr>
          <w:rFonts w:ascii="Times New Roman" w:hAnsi="Times New Roman" w:cs="Times New Roman"/>
          <w:sz w:val="26"/>
          <w:szCs w:val="26"/>
          <w:lang w:val="uk-UA"/>
        </w:rPr>
        <w:t>, в тому числі</w:t>
      </w:r>
      <w:r w:rsidR="00557C5C">
        <w:rPr>
          <w:rFonts w:ascii="Times New Roman" w:hAnsi="Times New Roman" w:cs="Times New Roman"/>
          <w:sz w:val="26"/>
          <w:szCs w:val="26"/>
          <w:lang w:val="uk-UA"/>
        </w:rPr>
        <w:t xml:space="preserve"> виплата заробітної платні працівникам підприємства</w:t>
      </w:r>
      <w:r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446AEB" w:rsidRPr="009E5CD6" w:rsidRDefault="00446AEB" w:rsidP="006E40CC">
      <w:pPr>
        <w:ind w:firstLine="567"/>
        <w:jc w:val="both"/>
        <w:rPr>
          <w:rFonts w:ascii="Times New Roman" w:hAnsi="Times New Roman" w:cs="Times New Roman"/>
          <w:b/>
          <w:sz w:val="26"/>
          <w:szCs w:val="26"/>
          <w:highlight w:val="yellow"/>
          <w:lang w:val="uk-UA"/>
        </w:rPr>
      </w:pPr>
      <w:r w:rsidRPr="00AC545D">
        <w:rPr>
          <w:rFonts w:ascii="Times New Roman" w:hAnsi="Times New Roman" w:cs="Times New Roman"/>
          <w:b/>
          <w:sz w:val="26"/>
          <w:szCs w:val="26"/>
          <w:lang w:val="uk-UA"/>
        </w:rPr>
        <w:t>7. Розвиток готельного господарства м. Києва</w:t>
      </w:r>
    </w:p>
    <w:p w:rsidR="00446AEB" w:rsidRPr="00AC545D" w:rsidRDefault="00446AEB" w:rsidP="006E40CC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C545D">
        <w:rPr>
          <w:rFonts w:ascii="Times New Roman" w:hAnsi="Times New Roman" w:cs="Times New Roman"/>
          <w:sz w:val="26"/>
          <w:szCs w:val="26"/>
          <w:lang w:val="uk-UA"/>
        </w:rPr>
        <w:t>Проведен</w:t>
      </w:r>
      <w:r w:rsidR="00AC545D" w:rsidRPr="00AC545D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Pr="00AC545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C545D">
        <w:rPr>
          <w:rFonts w:ascii="Times New Roman" w:hAnsi="Times New Roman" w:cs="Times New Roman"/>
          <w:sz w:val="26"/>
          <w:szCs w:val="26"/>
          <w:lang w:val="uk-UA"/>
        </w:rPr>
        <w:t xml:space="preserve">1 </w:t>
      </w:r>
      <w:r w:rsidRPr="00AC545D">
        <w:rPr>
          <w:rFonts w:ascii="Times New Roman" w:hAnsi="Times New Roman" w:cs="Times New Roman"/>
          <w:sz w:val="26"/>
          <w:szCs w:val="26"/>
          <w:lang w:val="uk-UA"/>
        </w:rPr>
        <w:t>маркетингов</w:t>
      </w:r>
      <w:r w:rsidR="00AC545D" w:rsidRPr="00AC545D">
        <w:rPr>
          <w:rFonts w:ascii="Times New Roman" w:hAnsi="Times New Roman" w:cs="Times New Roman"/>
          <w:sz w:val="26"/>
          <w:szCs w:val="26"/>
          <w:lang w:val="uk-UA"/>
        </w:rPr>
        <w:t>е</w:t>
      </w:r>
      <w:r w:rsidRPr="00AC545D">
        <w:rPr>
          <w:rFonts w:ascii="Times New Roman" w:hAnsi="Times New Roman" w:cs="Times New Roman"/>
          <w:sz w:val="26"/>
          <w:szCs w:val="26"/>
          <w:lang w:val="uk-UA"/>
        </w:rPr>
        <w:t xml:space="preserve"> дослідження готельного ринку м. Києва</w:t>
      </w:r>
    </w:p>
    <w:p w:rsidR="00FE7E9D" w:rsidRDefault="00FE7E9D" w:rsidP="006E40CC">
      <w:pPr>
        <w:ind w:firstLine="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E7E9D">
        <w:rPr>
          <w:rFonts w:ascii="Times New Roman" w:hAnsi="Times New Roman" w:cs="Times New Roman"/>
          <w:b/>
          <w:sz w:val="26"/>
          <w:szCs w:val="26"/>
          <w:lang w:val="uk-UA"/>
        </w:rPr>
        <w:t xml:space="preserve">8. Розвиток </w:t>
      </w:r>
      <w:proofErr w:type="spellStart"/>
      <w:r w:rsidRPr="00FE7E9D">
        <w:rPr>
          <w:rFonts w:ascii="Times New Roman" w:hAnsi="Times New Roman" w:cs="Times New Roman"/>
          <w:b/>
          <w:sz w:val="26"/>
          <w:szCs w:val="26"/>
          <w:lang w:val="uk-UA"/>
        </w:rPr>
        <w:t>подієвого</w:t>
      </w:r>
      <w:proofErr w:type="spellEnd"/>
      <w:r w:rsidRPr="00FE7E9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туризму</w:t>
      </w:r>
    </w:p>
    <w:p w:rsidR="00FE7E9D" w:rsidRDefault="00FE7E9D" w:rsidP="00A16CB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890CC0">
        <w:rPr>
          <w:rFonts w:ascii="Times New Roman" w:hAnsi="Times New Roman" w:cs="Times New Roman"/>
          <w:i/>
          <w:sz w:val="26"/>
          <w:szCs w:val="26"/>
          <w:lang w:val="uk-UA"/>
        </w:rPr>
        <w:t>8.1. Організація та проведення муз</w:t>
      </w:r>
      <w:r w:rsidR="0017643C">
        <w:rPr>
          <w:rFonts w:ascii="Times New Roman" w:hAnsi="Times New Roman" w:cs="Times New Roman"/>
          <w:i/>
          <w:sz w:val="26"/>
          <w:szCs w:val="26"/>
          <w:lang w:val="uk-UA"/>
        </w:rPr>
        <w:t>ичної події міжнародного рівня «</w:t>
      </w:r>
      <w:proofErr w:type="spellStart"/>
      <w:r w:rsidR="0017643C">
        <w:rPr>
          <w:rFonts w:ascii="Times New Roman" w:hAnsi="Times New Roman" w:cs="Times New Roman"/>
          <w:i/>
          <w:sz w:val="26"/>
          <w:szCs w:val="26"/>
          <w:lang w:val="uk-UA"/>
        </w:rPr>
        <w:t>Atlas</w:t>
      </w:r>
      <w:proofErr w:type="spellEnd"/>
      <w:r w:rsidR="0017643C">
        <w:rPr>
          <w:rFonts w:ascii="Times New Roman" w:hAnsi="Times New Roman" w:cs="Times New Roman"/>
          <w:i/>
          <w:sz w:val="26"/>
          <w:szCs w:val="26"/>
          <w:lang w:val="uk-UA"/>
        </w:rPr>
        <w:t xml:space="preserve"> </w:t>
      </w:r>
      <w:proofErr w:type="spellStart"/>
      <w:r w:rsidR="0017643C">
        <w:rPr>
          <w:rFonts w:ascii="Times New Roman" w:hAnsi="Times New Roman" w:cs="Times New Roman"/>
          <w:i/>
          <w:sz w:val="26"/>
          <w:szCs w:val="26"/>
          <w:lang w:val="uk-UA"/>
        </w:rPr>
        <w:t>Weekend</w:t>
      </w:r>
      <w:proofErr w:type="spellEnd"/>
      <w:r w:rsidR="0017643C">
        <w:rPr>
          <w:rFonts w:ascii="Times New Roman" w:hAnsi="Times New Roman" w:cs="Times New Roman"/>
          <w:i/>
          <w:sz w:val="26"/>
          <w:szCs w:val="26"/>
          <w:lang w:val="uk-UA"/>
        </w:rPr>
        <w:t>»</w:t>
      </w:r>
      <w:r w:rsidR="00A16CBC">
        <w:rPr>
          <w:rFonts w:ascii="Times New Roman" w:hAnsi="Times New Roman" w:cs="Times New Roman"/>
          <w:i/>
          <w:sz w:val="26"/>
          <w:szCs w:val="26"/>
          <w:lang w:val="uk-UA"/>
        </w:rPr>
        <w:t>:</w:t>
      </w:r>
    </w:p>
    <w:p w:rsidR="00A16CBC" w:rsidRDefault="00A16CBC" w:rsidP="00A16C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16CBC">
        <w:rPr>
          <w:rFonts w:ascii="Times New Roman" w:hAnsi="Times New Roman" w:cs="Times New Roman"/>
          <w:sz w:val="26"/>
          <w:szCs w:val="26"/>
          <w:lang w:val="uk-UA"/>
        </w:rPr>
        <w:t>В рамках муз</w:t>
      </w:r>
      <w:r>
        <w:rPr>
          <w:rFonts w:ascii="Times New Roman" w:hAnsi="Times New Roman" w:cs="Times New Roman"/>
          <w:sz w:val="26"/>
          <w:szCs w:val="26"/>
          <w:lang w:val="uk-UA"/>
        </w:rPr>
        <w:t>ичної події міжнародного рівня «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Atlas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Weekend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»</w:t>
      </w:r>
      <w:r w:rsidRPr="00A16CBC">
        <w:rPr>
          <w:rFonts w:ascii="Times New Roman" w:hAnsi="Times New Roman" w:cs="Times New Roman"/>
          <w:sz w:val="26"/>
          <w:szCs w:val="26"/>
          <w:lang w:val="uk-UA"/>
        </w:rPr>
        <w:t xml:space="preserve"> забезпечено фун</w:t>
      </w:r>
      <w:r w:rsidR="00CB68ED">
        <w:rPr>
          <w:rFonts w:ascii="Times New Roman" w:hAnsi="Times New Roman" w:cs="Times New Roman"/>
          <w:sz w:val="26"/>
          <w:szCs w:val="26"/>
          <w:lang w:val="uk-UA"/>
        </w:rPr>
        <w:t>кціонування зон</w:t>
      </w:r>
      <w:r w:rsidRPr="00A16CBC">
        <w:rPr>
          <w:rFonts w:ascii="Times New Roman" w:hAnsi="Times New Roman" w:cs="Times New Roman"/>
          <w:sz w:val="26"/>
          <w:szCs w:val="26"/>
          <w:lang w:val="uk-UA"/>
        </w:rPr>
        <w:t xml:space="preserve"> гостинності м. Києва</w:t>
      </w:r>
      <w:r w:rsidR="00EC1535">
        <w:rPr>
          <w:rFonts w:ascii="Times New Roman" w:hAnsi="Times New Roman" w:cs="Times New Roman"/>
          <w:sz w:val="26"/>
          <w:szCs w:val="26"/>
          <w:lang w:val="uk-UA"/>
        </w:rPr>
        <w:t xml:space="preserve"> та створено відеоролик.</w:t>
      </w:r>
    </w:p>
    <w:p w:rsidR="00EC1535" w:rsidRPr="00A16CBC" w:rsidRDefault="00EC1535" w:rsidP="00A16C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B68ED" w:rsidRDefault="00FE7E9D" w:rsidP="00EC153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890CC0">
        <w:rPr>
          <w:rFonts w:ascii="Times New Roman" w:hAnsi="Times New Roman" w:cs="Times New Roman"/>
          <w:i/>
          <w:sz w:val="26"/>
          <w:szCs w:val="26"/>
          <w:lang w:val="uk-UA"/>
        </w:rPr>
        <w:t>8.2. Участь та підтримка проведення міських фестивалів, ярмарків та інших культурно-масових заходів, в тому числі включених до Єдиного календаря подій міста Києва</w:t>
      </w:r>
      <w:r w:rsidR="008D29BF">
        <w:rPr>
          <w:rFonts w:ascii="Times New Roman" w:hAnsi="Times New Roman" w:cs="Times New Roman"/>
          <w:i/>
          <w:sz w:val="26"/>
          <w:szCs w:val="26"/>
          <w:lang w:val="uk-UA"/>
        </w:rPr>
        <w:t>:</w:t>
      </w:r>
    </w:p>
    <w:p w:rsidR="006F595F" w:rsidRDefault="00CB68ED" w:rsidP="002A1A01">
      <w:pPr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B68ED">
        <w:rPr>
          <w:rFonts w:ascii="Times New Roman" w:hAnsi="Times New Roman" w:cs="Times New Roman"/>
          <w:sz w:val="26"/>
          <w:szCs w:val="26"/>
          <w:lang w:val="uk-UA"/>
        </w:rPr>
        <w:t>- організовано тематичну локацію міста Києва на офіційній фан - зоні пісенного конкурсу Євробачення 2017 «</w:t>
      </w:r>
      <w:proofErr w:type="spellStart"/>
      <w:r w:rsidRPr="00CB68ED">
        <w:rPr>
          <w:rFonts w:ascii="Times New Roman" w:hAnsi="Times New Roman" w:cs="Times New Roman"/>
          <w:sz w:val="26"/>
          <w:szCs w:val="26"/>
          <w:lang w:val="uk-UA"/>
        </w:rPr>
        <w:t>Eurovillage</w:t>
      </w:r>
      <w:proofErr w:type="spellEnd"/>
      <w:r w:rsidRPr="00CB68ED">
        <w:rPr>
          <w:rFonts w:ascii="Times New Roman" w:hAnsi="Times New Roman" w:cs="Times New Roman"/>
          <w:sz w:val="26"/>
          <w:szCs w:val="26"/>
          <w:lang w:val="uk-UA"/>
        </w:rPr>
        <w:t xml:space="preserve">»;                                                                                        -  </w:t>
      </w:r>
      <w:r w:rsidR="006F595F">
        <w:rPr>
          <w:rFonts w:ascii="Times New Roman" w:hAnsi="Times New Roman" w:cs="Times New Roman"/>
          <w:sz w:val="26"/>
          <w:szCs w:val="26"/>
          <w:lang w:val="uk-UA"/>
        </w:rPr>
        <w:t xml:space="preserve">- </w:t>
      </w:r>
      <w:r w:rsidRPr="00CB68ED">
        <w:rPr>
          <w:rFonts w:ascii="Times New Roman" w:hAnsi="Times New Roman" w:cs="Times New Roman"/>
          <w:sz w:val="26"/>
          <w:szCs w:val="26"/>
          <w:lang w:val="uk-UA"/>
        </w:rPr>
        <w:t>проведен</w:t>
      </w:r>
      <w:r w:rsidR="006F595F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Pr="00CB68ED">
        <w:rPr>
          <w:rFonts w:ascii="Times New Roman" w:hAnsi="Times New Roman" w:cs="Times New Roman"/>
          <w:sz w:val="26"/>
          <w:szCs w:val="26"/>
          <w:lang w:val="uk-UA"/>
        </w:rPr>
        <w:t xml:space="preserve"> презентаці</w:t>
      </w:r>
      <w:r w:rsidR="006F595F">
        <w:rPr>
          <w:rFonts w:ascii="Times New Roman" w:hAnsi="Times New Roman" w:cs="Times New Roman"/>
          <w:sz w:val="26"/>
          <w:szCs w:val="26"/>
          <w:lang w:val="uk-UA"/>
        </w:rPr>
        <w:t>ю</w:t>
      </w:r>
      <w:r w:rsidRPr="00CB68ED">
        <w:rPr>
          <w:rFonts w:ascii="Times New Roman" w:hAnsi="Times New Roman" w:cs="Times New Roman"/>
          <w:sz w:val="26"/>
          <w:szCs w:val="26"/>
          <w:lang w:val="uk-UA"/>
        </w:rPr>
        <w:t xml:space="preserve"> кубку та офіційного логотипу фіналу Ліги чемпіонів УЄФА 2018 року;</w:t>
      </w:r>
    </w:p>
    <w:p w:rsidR="006F595F" w:rsidRDefault="00CB68ED" w:rsidP="002A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B68ED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6F595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B68ED">
        <w:rPr>
          <w:rFonts w:ascii="Times New Roman" w:hAnsi="Times New Roman" w:cs="Times New Roman"/>
          <w:sz w:val="26"/>
          <w:szCs w:val="26"/>
          <w:lang w:val="uk-UA"/>
        </w:rPr>
        <w:t>в рамках новорічних заходів забезпечено роботу різдвяного будиночку для інформац</w:t>
      </w:r>
      <w:r w:rsidR="006F595F">
        <w:rPr>
          <w:rFonts w:ascii="Times New Roman" w:hAnsi="Times New Roman" w:cs="Times New Roman"/>
          <w:sz w:val="26"/>
          <w:szCs w:val="26"/>
          <w:lang w:val="uk-UA"/>
        </w:rPr>
        <w:t>ійної підтримки гостей м. Києва;</w:t>
      </w:r>
    </w:p>
    <w:p w:rsidR="008D29BF" w:rsidRDefault="006F595F" w:rsidP="002A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- </w:t>
      </w:r>
      <w:r w:rsidR="00CB68ED" w:rsidRPr="00CB68ED">
        <w:rPr>
          <w:rFonts w:ascii="Times New Roman" w:hAnsi="Times New Roman" w:cs="Times New Roman"/>
          <w:sz w:val="26"/>
          <w:szCs w:val="26"/>
          <w:lang w:val="uk-UA"/>
        </w:rPr>
        <w:t>організовано презентацію фестивалю «</w:t>
      </w:r>
      <w:proofErr w:type="spellStart"/>
      <w:r w:rsidR="00CB68ED" w:rsidRPr="00CB68ED">
        <w:rPr>
          <w:rFonts w:ascii="Times New Roman" w:hAnsi="Times New Roman" w:cs="Times New Roman"/>
          <w:sz w:val="26"/>
          <w:szCs w:val="26"/>
          <w:lang w:val="uk-UA"/>
        </w:rPr>
        <w:t>МотоOpenFest</w:t>
      </w:r>
      <w:proofErr w:type="spellEnd"/>
      <w:r w:rsidR="00CB68ED" w:rsidRPr="00CB68ED">
        <w:rPr>
          <w:rFonts w:ascii="Times New Roman" w:hAnsi="Times New Roman" w:cs="Times New Roman"/>
          <w:sz w:val="26"/>
          <w:szCs w:val="26"/>
          <w:lang w:val="uk-UA"/>
        </w:rPr>
        <w:t xml:space="preserve"> 2018»</w:t>
      </w:r>
      <w:r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CB68ED" w:rsidRPr="00CB68ED" w:rsidRDefault="00CB68ED" w:rsidP="002A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B68ED">
        <w:rPr>
          <w:rFonts w:ascii="Times New Roman" w:hAnsi="Times New Roman" w:cs="Times New Roman"/>
          <w:sz w:val="26"/>
          <w:szCs w:val="26"/>
          <w:lang w:val="uk-UA"/>
        </w:rPr>
        <w:t>- організовано проведення презентації кубку та офіційного логотипу фіналу Ліги чемпіонів УЄФА 2018 року;</w:t>
      </w:r>
    </w:p>
    <w:p w:rsidR="00CB68ED" w:rsidRDefault="00CB68ED" w:rsidP="002A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B68ED">
        <w:rPr>
          <w:rFonts w:ascii="Times New Roman" w:hAnsi="Times New Roman" w:cs="Times New Roman"/>
          <w:sz w:val="26"/>
          <w:szCs w:val="26"/>
          <w:lang w:val="uk-UA"/>
        </w:rPr>
        <w:t>- взято участь з організації зони гостинності та пунктів надання туристичної інформації під час проведення фіналу матчів Ліги чемпіонів УЕФА в м. Києві</w:t>
      </w:r>
      <w:r w:rsidR="006F595F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2A1A01" w:rsidRPr="00CB68ED" w:rsidRDefault="002A1A01" w:rsidP="002A1A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E7E9D" w:rsidRPr="00906ABD" w:rsidRDefault="00FE7E9D" w:rsidP="002A1A0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906ABD">
        <w:rPr>
          <w:rFonts w:ascii="Times New Roman" w:hAnsi="Times New Roman" w:cs="Times New Roman"/>
          <w:i/>
          <w:sz w:val="26"/>
          <w:szCs w:val="26"/>
          <w:lang w:val="uk-UA"/>
        </w:rPr>
        <w:t xml:space="preserve">8.3. Організація </w:t>
      </w:r>
      <w:proofErr w:type="spellStart"/>
      <w:r w:rsidRPr="00906ABD">
        <w:rPr>
          <w:rFonts w:ascii="Times New Roman" w:hAnsi="Times New Roman" w:cs="Times New Roman"/>
          <w:i/>
          <w:sz w:val="26"/>
          <w:szCs w:val="26"/>
          <w:lang w:val="uk-UA"/>
        </w:rPr>
        <w:t>відряджень</w:t>
      </w:r>
      <w:proofErr w:type="spellEnd"/>
      <w:r w:rsidRPr="00906ABD">
        <w:rPr>
          <w:rFonts w:ascii="Times New Roman" w:hAnsi="Times New Roman" w:cs="Times New Roman"/>
          <w:i/>
          <w:sz w:val="26"/>
          <w:szCs w:val="26"/>
          <w:lang w:val="uk-UA"/>
        </w:rPr>
        <w:t xml:space="preserve"> з проведення Днів Києва за кордоном</w:t>
      </w:r>
      <w:r w:rsidR="00EC1535" w:rsidRPr="00906ABD">
        <w:rPr>
          <w:rFonts w:ascii="Times New Roman" w:hAnsi="Times New Roman" w:cs="Times New Roman"/>
          <w:i/>
          <w:sz w:val="26"/>
          <w:szCs w:val="26"/>
          <w:lang w:val="uk-UA"/>
        </w:rPr>
        <w:t>:</w:t>
      </w:r>
    </w:p>
    <w:p w:rsidR="00906ABD" w:rsidRPr="00906ABD" w:rsidRDefault="00EC1535" w:rsidP="00906A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06ABD">
        <w:rPr>
          <w:rFonts w:ascii="Times New Roman" w:hAnsi="Times New Roman" w:cs="Times New Roman"/>
          <w:sz w:val="26"/>
          <w:szCs w:val="26"/>
          <w:lang w:val="uk-UA"/>
        </w:rPr>
        <w:t>Проведено</w:t>
      </w:r>
      <w:r w:rsidR="00906ABD">
        <w:rPr>
          <w:rFonts w:ascii="Times New Roman" w:hAnsi="Times New Roman" w:cs="Times New Roman"/>
          <w:sz w:val="26"/>
          <w:szCs w:val="26"/>
          <w:lang w:val="uk-UA"/>
        </w:rPr>
        <w:t xml:space="preserve"> 2 заходи, а саме: </w:t>
      </w:r>
      <w:r w:rsidRPr="00906ABD">
        <w:rPr>
          <w:rFonts w:ascii="Times New Roman" w:hAnsi="Times New Roman" w:cs="Times New Roman"/>
          <w:sz w:val="26"/>
          <w:szCs w:val="26"/>
          <w:lang w:val="uk-UA"/>
        </w:rPr>
        <w:t>Дні Києва в містах Тель-Авіві</w:t>
      </w:r>
      <w:r w:rsidR="00906ABD" w:rsidRPr="00906ABD">
        <w:rPr>
          <w:rFonts w:ascii="Times New Roman" w:hAnsi="Times New Roman" w:cs="Times New Roman"/>
          <w:sz w:val="26"/>
          <w:szCs w:val="26"/>
          <w:lang w:val="uk-UA"/>
        </w:rPr>
        <w:t xml:space="preserve"> (2016 рік)</w:t>
      </w:r>
      <w:r w:rsidRPr="00906ABD">
        <w:rPr>
          <w:rFonts w:ascii="Times New Roman" w:hAnsi="Times New Roman" w:cs="Times New Roman"/>
          <w:sz w:val="26"/>
          <w:szCs w:val="26"/>
          <w:lang w:val="uk-UA"/>
        </w:rPr>
        <w:t xml:space="preserve"> та Стамбулі</w:t>
      </w:r>
      <w:r w:rsidR="00906ABD" w:rsidRPr="00906ABD">
        <w:rPr>
          <w:rFonts w:ascii="Times New Roman" w:hAnsi="Times New Roman" w:cs="Times New Roman"/>
          <w:sz w:val="26"/>
          <w:szCs w:val="26"/>
          <w:lang w:val="uk-UA"/>
        </w:rPr>
        <w:t xml:space="preserve"> (2017 рік)</w:t>
      </w:r>
      <w:r w:rsidR="00906ABD">
        <w:rPr>
          <w:rFonts w:ascii="Times New Roman" w:hAnsi="Times New Roman" w:cs="Times New Roman"/>
          <w:sz w:val="26"/>
          <w:szCs w:val="26"/>
          <w:lang w:val="uk-UA"/>
        </w:rPr>
        <w:t xml:space="preserve">, що сприяло зростанню інформованості про Київ та просуванню </w:t>
      </w:r>
      <w:r w:rsidR="00906ABD" w:rsidRPr="00906ABD">
        <w:rPr>
          <w:rFonts w:ascii="Times New Roman" w:hAnsi="Times New Roman" w:cs="Times New Roman"/>
          <w:sz w:val="26"/>
          <w:szCs w:val="26"/>
          <w:lang w:val="uk-UA"/>
        </w:rPr>
        <w:t>туристичного бренд</w:t>
      </w:r>
      <w:r w:rsidR="00906ABD">
        <w:rPr>
          <w:rFonts w:ascii="Times New Roman" w:hAnsi="Times New Roman" w:cs="Times New Roman"/>
          <w:sz w:val="26"/>
          <w:szCs w:val="26"/>
          <w:lang w:val="uk-UA"/>
        </w:rPr>
        <w:t>у міста Києва.</w:t>
      </w:r>
    </w:p>
    <w:p w:rsidR="002A1A01" w:rsidRPr="00EC1535" w:rsidRDefault="002A1A01" w:rsidP="002A1A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E7E9D" w:rsidRDefault="00FE7E9D" w:rsidP="006E40CC">
      <w:pPr>
        <w:ind w:firstLine="567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890CC0">
        <w:rPr>
          <w:rFonts w:ascii="Times New Roman" w:hAnsi="Times New Roman" w:cs="Times New Roman"/>
          <w:i/>
          <w:sz w:val="26"/>
          <w:szCs w:val="26"/>
          <w:lang w:val="uk-UA"/>
        </w:rPr>
        <w:lastRenderedPageBreak/>
        <w:t xml:space="preserve">8.4. Організація </w:t>
      </w:r>
      <w:proofErr w:type="spellStart"/>
      <w:r w:rsidRPr="00890CC0">
        <w:rPr>
          <w:rFonts w:ascii="Times New Roman" w:hAnsi="Times New Roman" w:cs="Times New Roman"/>
          <w:i/>
          <w:sz w:val="26"/>
          <w:szCs w:val="26"/>
          <w:lang w:val="uk-UA"/>
        </w:rPr>
        <w:t>відряджень</w:t>
      </w:r>
      <w:proofErr w:type="spellEnd"/>
      <w:r w:rsidRPr="00890CC0">
        <w:rPr>
          <w:rFonts w:ascii="Times New Roman" w:hAnsi="Times New Roman" w:cs="Times New Roman"/>
          <w:i/>
          <w:sz w:val="26"/>
          <w:szCs w:val="26"/>
          <w:lang w:val="uk-UA"/>
        </w:rPr>
        <w:t xml:space="preserve"> з підготовки та проведення мистецьких, художніх та фото виставок за кордоном</w:t>
      </w:r>
      <w:r w:rsidR="006F595F">
        <w:rPr>
          <w:rFonts w:ascii="Times New Roman" w:hAnsi="Times New Roman" w:cs="Times New Roman"/>
          <w:i/>
          <w:sz w:val="26"/>
          <w:szCs w:val="26"/>
          <w:lang w:val="uk-UA"/>
        </w:rPr>
        <w:t>:</w:t>
      </w:r>
    </w:p>
    <w:p w:rsidR="006F595F" w:rsidRPr="005B328C" w:rsidRDefault="006F595F" w:rsidP="006E40CC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A1A01">
        <w:rPr>
          <w:rFonts w:ascii="Times New Roman" w:hAnsi="Times New Roman" w:cs="Times New Roman"/>
          <w:sz w:val="26"/>
          <w:szCs w:val="26"/>
          <w:lang w:val="uk-UA"/>
        </w:rPr>
        <w:t>проведе</w:t>
      </w:r>
      <w:r w:rsidR="002A1A01">
        <w:rPr>
          <w:rFonts w:ascii="Times New Roman" w:hAnsi="Times New Roman" w:cs="Times New Roman"/>
          <w:sz w:val="26"/>
          <w:szCs w:val="26"/>
          <w:lang w:val="uk-UA"/>
        </w:rPr>
        <w:t xml:space="preserve">но виставку картин «KYIV. </w:t>
      </w:r>
      <w:proofErr w:type="spellStart"/>
      <w:r w:rsidR="002A1A01">
        <w:rPr>
          <w:rFonts w:ascii="Times New Roman" w:hAnsi="Times New Roman" w:cs="Times New Roman"/>
          <w:sz w:val="26"/>
          <w:szCs w:val="26"/>
          <w:lang w:val="uk-UA"/>
        </w:rPr>
        <w:t>Must</w:t>
      </w:r>
      <w:proofErr w:type="spellEnd"/>
      <w:r w:rsidR="002A1A0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A1A01">
        <w:rPr>
          <w:rFonts w:ascii="Times New Roman" w:hAnsi="Times New Roman" w:cs="Times New Roman"/>
          <w:sz w:val="26"/>
          <w:szCs w:val="26"/>
          <w:lang w:val="uk-UA"/>
        </w:rPr>
        <w:t>S</w:t>
      </w:r>
      <w:r w:rsidRPr="002A1A01">
        <w:rPr>
          <w:rFonts w:ascii="Times New Roman" w:hAnsi="Times New Roman" w:cs="Times New Roman"/>
          <w:sz w:val="26"/>
          <w:szCs w:val="26"/>
          <w:lang w:val="uk-UA"/>
        </w:rPr>
        <w:t>ee</w:t>
      </w:r>
      <w:proofErr w:type="spellEnd"/>
      <w:r w:rsidRPr="002A1A01">
        <w:rPr>
          <w:rFonts w:ascii="Times New Roman" w:hAnsi="Times New Roman" w:cs="Times New Roman"/>
          <w:sz w:val="26"/>
          <w:szCs w:val="26"/>
          <w:lang w:val="uk-UA"/>
        </w:rPr>
        <w:t>»  знаменитих українських художни</w:t>
      </w:r>
      <w:r w:rsidR="002A1A01">
        <w:rPr>
          <w:rFonts w:ascii="Times New Roman" w:hAnsi="Times New Roman" w:cs="Times New Roman"/>
          <w:sz w:val="26"/>
          <w:szCs w:val="26"/>
          <w:lang w:val="uk-UA"/>
        </w:rPr>
        <w:t>ків, яка відбулась в Міжнародному аеропорт</w:t>
      </w:r>
      <w:r w:rsidR="005B328C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2A1A01">
        <w:rPr>
          <w:rFonts w:ascii="Times New Roman" w:hAnsi="Times New Roman" w:cs="Times New Roman"/>
          <w:sz w:val="26"/>
          <w:szCs w:val="26"/>
          <w:lang w:val="uk-UA"/>
        </w:rPr>
        <w:t xml:space="preserve"> «Київ» (Жуляни) та </w:t>
      </w:r>
      <w:r w:rsidR="005B328C">
        <w:rPr>
          <w:rFonts w:ascii="Times New Roman" w:hAnsi="Times New Roman" w:cs="Times New Roman"/>
          <w:sz w:val="26"/>
          <w:szCs w:val="26"/>
          <w:lang w:val="uk-UA"/>
        </w:rPr>
        <w:t xml:space="preserve">фотовиставку у </w:t>
      </w:r>
      <w:r w:rsidR="005B328C" w:rsidRPr="005B328C">
        <w:rPr>
          <w:rFonts w:ascii="Times New Roman" w:hAnsi="Times New Roman" w:cs="Times New Roman"/>
          <w:sz w:val="26"/>
          <w:szCs w:val="26"/>
          <w:lang w:val="uk-UA"/>
        </w:rPr>
        <w:t>Міжнародному аеропорту</w:t>
      </w:r>
      <w:r w:rsidR="005B328C">
        <w:rPr>
          <w:rFonts w:ascii="Times New Roman" w:hAnsi="Times New Roman" w:cs="Times New Roman"/>
          <w:sz w:val="26"/>
          <w:szCs w:val="26"/>
          <w:lang w:val="uk-UA"/>
        </w:rPr>
        <w:t xml:space="preserve"> «Мінськ».</w:t>
      </w:r>
    </w:p>
    <w:p w:rsidR="00344011" w:rsidRPr="005B328C" w:rsidRDefault="005B328C" w:rsidP="00344011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5B328C">
        <w:rPr>
          <w:rFonts w:ascii="Times New Roman" w:hAnsi="Times New Roman" w:cs="Times New Roman"/>
          <w:sz w:val="26"/>
          <w:szCs w:val="26"/>
          <w:lang w:val="uk-UA"/>
        </w:rPr>
        <w:t xml:space="preserve">Реалізація </w:t>
      </w:r>
      <w:r w:rsidR="002278B8">
        <w:rPr>
          <w:rFonts w:ascii="Times New Roman" w:hAnsi="Times New Roman" w:cs="Times New Roman"/>
          <w:sz w:val="26"/>
          <w:szCs w:val="26"/>
          <w:lang w:val="uk-UA"/>
        </w:rPr>
        <w:t xml:space="preserve">вищезазначених заходів </w:t>
      </w:r>
      <w:r w:rsidR="002278B8" w:rsidRPr="002278B8">
        <w:rPr>
          <w:rFonts w:ascii="Times New Roman" w:hAnsi="Times New Roman" w:cs="Times New Roman"/>
          <w:sz w:val="26"/>
          <w:szCs w:val="26"/>
          <w:lang w:val="uk-UA"/>
        </w:rPr>
        <w:t>Програми дозво</w:t>
      </w:r>
      <w:r w:rsidR="002278B8">
        <w:rPr>
          <w:rFonts w:ascii="Times New Roman" w:hAnsi="Times New Roman" w:cs="Times New Roman"/>
          <w:sz w:val="26"/>
          <w:szCs w:val="26"/>
          <w:lang w:val="uk-UA"/>
        </w:rPr>
        <w:t>лило</w:t>
      </w:r>
      <w:r w:rsidR="002278B8" w:rsidRPr="002278B8">
        <w:rPr>
          <w:rFonts w:ascii="Times New Roman" w:hAnsi="Times New Roman" w:cs="Times New Roman"/>
          <w:sz w:val="26"/>
          <w:szCs w:val="26"/>
          <w:lang w:val="uk-UA"/>
        </w:rPr>
        <w:t xml:space="preserve"> забезпечити просува</w:t>
      </w:r>
      <w:r w:rsidR="00B36BCB">
        <w:rPr>
          <w:rFonts w:ascii="Times New Roman" w:hAnsi="Times New Roman" w:cs="Times New Roman"/>
          <w:sz w:val="26"/>
          <w:szCs w:val="26"/>
          <w:lang w:val="uk-UA"/>
        </w:rPr>
        <w:t xml:space="preserve">ння міста Києва як туристичного </w:t>
      </w:r>
      <w:r w:rsidR="002278B8" w:rsidRPr="002278B8">
        <w:rPr>
          <w:rFonts w:ascii="Times New Roman" w:hAnsi="Times New Roman" w:cs="Times New Roman"/>
          <w:sz w:val="26"/>
          <w:szCs w:val="26"/>
          <w:lang w:val="uk-UA"/>
        </w:rPr>
        <w:t>центру</w:t>
      </w:r>
      <w:r w:rsidR="00B36BCB">
        <w:rPr>
          <w:rFonts w:ascii="Times New Roman" w:hAnsi="Times New Roman" w:cs="Times New Roman"/>
          <w:sz w:val="26"/>
          <w:szCs w:val="26"/>
          <w:lang w:val="uk-UA"/>
        </w:rPr>
        <w:t xml:space="preserve"> європейського рівня</w:t>
      </w:r>
      <w:r w:rsidR="002278B8" w:rsidRPr="002278B8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2278B8">
        <w:rPr>
          <w:rFonts w:ascii="Times New Roman" w:hAnsi="Times New Roman" w:cs="Times New Roman"/>
          <w:sz w:val="26"/>
          <w:szCs w:val="26"/>
          <w:lang w:val="uk-UA"/>
        </w:rPr>
        <w:t>сприяло створенню в столиці сучасної туристичної</w:t>
      </w:r>
      <w:r w:rsidR="002278B8" w:rsidRPr="002278B8">
        <w:rPr>
          <w:rFonts w:ascii="Times New Roman" w:hAnsi="Times New Roman" w:cs="Times New Roman"/>
          <w:sz w:val="26"/>
          <w:szCs w:val="26"/>
          <w:lang w:val="uk-UA"/>
        </w:rPr>
        <w:t xml:space="preserve"> інфраструктур</w:t>
      </w:r>
      <w:r w:rsidR="002278B8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="002278B8" w:rsidRPr="002278B8">
        <w:rPr>
          <w:rFonts w:ascii="Times New Roman" w:hAnsi="Times New Roman" w:cs="Times New Roman"/>
          <w:sz w:val="26"/>
          <w:szCs w:val="26"/>
          <w:lang w:val="uk-UA"/>
        </w:rPr>
        <w:t xml:space="preserve"> на рівні </w:t>
      </w:r>
      <w:r w:rsidR="00B36BCB">
        <w:rPr>
          <w:rFonts w:ascii="Times New Roman" w:hAnsi="Times New Roman" w:cs="Times New Roman"/>
          <w:sz w:val="26"/>
          <w:szCs w:val="26"/>
          <w:lang w:val="uk-UA"/>
        </w:rPr>
        <w:t>світових стандартів, що, в свою чергу сприяло збільшенню туристичних потоків до міста Києва та інших основних показників (табл. 1)</w:t>
      </w:r>
    </w:p>
    <w:p w:rsidR="00344011" w:rsidRDefault="00B36BCB" w:rsidP="00B36BCB">
      <w:pPr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Табл. 1</w:t>
      </w:r>
    </w:p>
    <w:p w:rsidR="0041649A" w:rsidRPr="00DB12D1" w:rsidRDefault="0041649A" w:rsidP="00502F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DB12D1">
        <w:rPr>
          <w:rFonts w:ascii="Times New Roman" w:hAnsi="Times New Roman" w:cs="Times New Roman"/>
          <w:sz w:val="26"/>
          <w:szCs w:val="26"/>
          <w:lang w:val="uk-UA"/>
        </w:rPr>
        <w:t>Основні показники туристич</w:t>
      </w:r>
      <w:r w:rsidR="00502F2C">
        <w:rPr>
          <w:rFonts w:ascii="Times New Roman" w:hAnsi="Times New Roman" w:cs="Times New Roman"/>
          <w:sz w:val="26"/>
          <w:szCs w:val="26"/>
          <w:lang w:val="uk-UA"/>
        </w:rPr>
        <w:t>ної галузі м. Києва (динаміка)</w:t>
      </w:r>
    </w:p>
    <w:tbl>
      <w:tblPr>
        <w:tblStyle w:val="1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261"/>
        <w:gridCol w:w="1275"/>
        <w:gridCol w:w="1134"/>
        <w:gridCol w:w="1134"/>
        <w:gridCol w:w="1134"/>
        <w:gridCol w:w="1134"/>
        <w:gridCol w:w="1276"/>
      </w:tblGrid>
      <w:tr w:rsidR="0041649A" w:rsidRPr="00DB12D1" w:rsidTr="008F7DA4">
        <w:trPr>
          <w:trHeight w:val="240"/>
        </w:trPr>
        <w:tc>
          <w:tcPr>
            <w:tcW w:w="3261" w:type="dxa"/>
            <w:hideMark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val="uk-UA" w:eastAsia="ru-RU"/>
              </w:rPr>
              <w:t>Показник</w:t>
            </w:r>
          </w:p>
        </w:tc>
        <w:tc>
          <w:tcPr>
            <w:tcW w:w="1275" w:type="dxa"/>
            <w:hideMark/>
          </w:tcPr>
          <w:p w:rsidR="0041649A" w:rsidRPr="00DB12D1" w:rsidRDefault="0041649A" w:rsidP="00B21479">
            <w:pPr>
              <w:jc w:val="both"/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val="uk-UA" w:eastAsia="ru-RU"/>
              </w:rPr>
              <w:t>Од. виміру</w:t>
            </w:r>
          </w:p>
        </w:tc>
        <w:tc>
          <w:tcPr>
            <w:tcW w:w="1134" w:type="dxa"/>
            <w:hideMark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val="uk-UA" w:eastAsia="ru-RU"/>
              </w:rPr>
              <w:t>2014</w:t>
            </w:r>
          </w:p>
        </w:tc>
        <w:tc>
          <w:tcPr>
            <w:tcW w:w="1134" w:type="dxa"/>
            <w:hideMark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val="uk-UA" w:eastAsia="ru-RU"/>
              </w:rPr>
              <w:t>2015</w:t>
            </w:r>
          </w:p>
        </w:tc>
        <w:tc>
          <w:tcPr>
            <w:tcW w:w="1134" w:type="dxa"/>
            <w:hideMark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val="uk-UA" w:eastAsia="ru-RU"/>
              </w:rPr>
              <w:t>2016</w:t>
            </w:r>
          </w:p>
        </w:tc>
        <w:tc>
          <w:tcPr>
            <w:tcW w:w="1134" w:type="dxa"/>
            <w:hideMark/>
          </w:tcPr>
          <w:p w:rsidR="0041649A" w:rsidRPr="00DB12D1" w:rsidRDefault="0041649A" w:rsidP="00B21479">
            <w:pPr>
              <w:ind w:left="34" w:hanging="34"/>
              <w:jc w:val="both"/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2017 </w:t>
            </w:r>
          </w:p>
        </w:tc>
        <w:tc>
          <w:tcPr>
            <w:tcW w:w="1276" w:type="dxa"/>
          </w:tcPr>
          <w:p w:rsidR="0041649A" w:rsidRPr="00DB12D1" w:rsidRDefault="0041649A" w:rsidP="00B21479">
            <w:pPr>
              <w:ind w:left="34" w:hanging="34"/>
              <w:jc w:val="both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lang w:val="uk-UA"/>
              </w:rPr>
            </w:pPr>
            <w:r w:rsidRPr="00DB12D1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lang w:val="uk-UA"/>
              </w:rPr>
              <w:t>201</w:t>
            </w:r>
            <w:r w:rsidR="00B21479" w:rsidRPr="00DB12D1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lang w:val="uk-UA"/>
              </w:rPr>
              <w:t>8</w:t>
            </w:r>
          </w:p>
          <w:p w:rsidR="00B21479" w:rsidRPr="00DB12D1" w:rsidRDefault="00B21479" w:rsidP="00B21479">
            <w:pPr>
              <w:ind w:left="34" w:hanging="34"/>
              <w:jc w:val="both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lang w:val="uk-UA"/>
              </w:rPr>
            </w:pPr>
          </w:p>
        </w:tc>
      </w:tr>
      <w:tr w:rsidR="00F850F5" w:rsidRPr="00DB12D1" w:rsidTr="008F7DA4">
        <w:trPr>
          <w:trHeight w:val="240"/>
        </w:trPr>
        <w:tc>
          <w:tcPr>
            <w:tcW w:w="3261" w:type="dxa"/>
            <w:hideMark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Іноземні відвідувачі</w:t>
            </w:r>
          </w:p>
        </w:tc>
        <w:tc>
          <w:tcPr>
            <w:tcW w:w="1275" w:type="dxa"/>
            <w:hideMark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тис.</w:t>
            </w:r>
            <w:r w:rsidR="008F7DA4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осіб</w:t>
            </w:r>
          </w:p>
        </w:tc>
        <w:tc>
          <w:tcPr>
            <w:tcW w:w="1134" w:type="dxa"/>
            <w:hideMark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927,0</w:t>
            </w:r>
          </w:p>
        </w:tc>
        <w:tc>
          <w:tcPr>
            <w:tcW w:w="1134" w:type="dxa"/>
            <w:hideMark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1 069,3</w:t>
            </w:r>
          </w:p>
        </w:tc>
        <w:tc>
          <w:tcPr>
            <w:tcW w:w="1134" w:type="dxa"/>
            <w:hideMark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1 248,1</w:t>
            </w:r>
          </w:p>
        </w:tc>
        <w:tc>
          <w:tcPr>
            <w:tcW w:w="1134" w:type="dxa"/>
            <w:noWrap/>
            <w:hideMark/>
          </w:tcPr>
          <w:p w:rsidR="0041649A" w:rsidRPr="00DB12D1" w:rsidRDefault="0041649A" w:rsidP="00B21479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 xml:space="preserve">1 </w:t>
            </w:r>
            <w:r w:rsidR="00B21479"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611</w:t>
            </w: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,0</w:t>
            </w:r>
          </w:p>
        </w:tc>
        <w:tc>
          <w:tcPr>
            <w:tcW w:w="1276" w:type="dxa"/>
          </w:tcPr>
          <w:p w:rsidR="0041649A" w:rsidRPr="00DB12D1" w:rsidRDefault="00CB5A43" w:rsidP="00B21479">
            <w:pPr>
              <w:ind w:left="-284" w:firstLine="284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  <w:r w:rsidRPr="00DB12D1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1 930,5</w:t>
            </w:r>
          </w:p>
        </w:tc>
      </w:tr>
      <w:tr w:rsidR="00F850F5" w:rsidRPr="00DB12D1" w:rsidTr="008F7DA4">
        <w:trPr>
          <w:trHeight w:val="240"/>
        </w:trPr>
        <w:tc>
          <w:tcPr>
            <w:tcW w:w="3261" w:type="dxa"/>
            <w:hideMark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Внутрішні туристи</w:t>
            </w:r>
          </w:p>
        </w:tc>
        <w:tc>
          <w:tcPr>
            <w:tcW w:w="1275" w:type="dxa"/>
            <w:hideMark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тис.</w:t>
            </w:r>
            <w:r w:rsidR="008F7DA4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осіб</w:t>
            </w:r>
          </w:p>
        </w:tc>
        <w:tc>
          <w:tcPr>
            <w:tcW w:w="1134" w:type="dxa"/>
            <w:hideMark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608,8</w:t>
            </w:r>
          </w:p>
        </w:tc>
        <w:tc>
          <w:tcPr>
            <w:tcW w:w="1134" w:type="dxa"/>
            <w:hideMark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707,0</w:t>
            </w:r>
          </w:p>
        </w:tc>
        <w:tc>
          <w:tcPr>
            <w:tcW w:w="1134" w:type="dxa"/>
            <w:hideMark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719,7</w:t>
            </w:r>
          </w:p>
        </w:tc>
        <w:tc>
          <w:tcPr>
            <w:tcW w:w="1134" w:type="dxa"/>
            <w:noWrap/>
            <w:hideMark/>
          </w:tcPr>
          <w:p w:rsidR="00B21479" w:rsidRPr="00DB12D1" w:rsidRDefault="00B21479" w:rsidP="00B21479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2 500,0</w:t>
            </w:r>
          </w:p>
        </w:tc>
        <w:tc>
          <w:tcPr>
            <w:tcW w:w="1276" w:type="dxa"/>
          </w:tcPr>
          <w:p w:rsidR="0041649A" w:rsidRPr="00DB12D1" w:rsidRDefault="00B21479" w:rsidP="003B40FF">
            <w:pPr>
              <w:ind w:left="-284" w:firstLine="284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  <w:r w:rsidRPr="00DB12D1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3000,0</w:t>
            </w:r>
          </w:p>
        </w:tc>
      </w:tr>
      <w:tr w:rsidR="00F850F5" w:rsidRPr="00DB12D1" w:rsidTr="008F7DA4">
        <w:trPr>
          <w:trHeight w:val="240"/>
        </w:trPr>
        <w:tc>
          <w:tcPr>
            <w:tcW w:w="3261" w:type="dxa"/>
            <w:hideMark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Туристичний збір</w:t>
            </w:r>
          </w:p>
        </w:tc>
        <w:tc>
          <w:tcPr>
            <w:tcW w:w="1275" w:type="dxa"/>
            <w:hideMark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млн.</w:t>
            </w:r>
            <w:r w:rsidR="008F7DA4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грн</w:t>
            </w:r>
          </w:p>
        </w:tc>
        <w:tc>
          <w:tcPr>
            <w:tcW w:w="1134" w:type="dxa"/>
            <w:hideMark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7,8</w:t>
            </w:r>
          </w:p>
        </w:tc>
        <w:tc>
          <w:tcPr>
            <w:tcW w:w="1134" w:type="dxa"/>
            <w:hideMark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13,0</w:t>
            </w:r>
          </w:p>
        </w:tc>
        <w:tc>
          <w:tcPr>
            <w:tcW w:w="1134" w:type="dxa"/>
            <w:hideMark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18,8</w:t>
            </w:r>
          </w:p>
        </w:tc>
        <w:tc>
          <w:tcPr>
            <w:tcW w:w="1134" w:type="dxa"/>
            <w:noWrap/>
            <w:hideMark/>
          </w:tcPr>
          <w:p w:rsidR="0041649A" w:rsidRPr="00DB12D1" w:rsidRDefault="00B21479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25,1</w:t>
            </w:r>
          </w:p>
        </w:tc>
        <w:tc>
          <w:tcPr>
            <w:tcW w:w="1276" w:type="dxa"/>
          </w:tcPr>
          <w:p w:rsidR="0041649A" w:rsidRPr="00DB12D1" w:rsidRDefault="00CB5A43" w:rsidP="008123A5">
            <w:pPr>
              <w:ind w:left="-284" w:firstLine="284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  <w:r w:rsidRPr="00DB12D1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3</w:t>
            </w:r>
            <w:r w:rsidR="008123A5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2</w:t>
            </w:r>
            <w:r w:rsidRPr="00DB12D1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,9</w:t>
            </w:r>
          </w:p>
        </w:tc>
      </w:tr>
      <w:tr w:rsidR="00F850F5" w:rsidRPr="00DB12D1" w:rsidTr="008F7DA4">
        <w:trPr>
          <w:trHeight w:val="240"/>
        </w:trPr>
        <w:tc>
          <w:tcPr>
            <w:tcW w:w="3261" w:type="dxa"/>
            <w:hideMark/>
          </w:tcPr>
          <w:p w:rsidR="0041649A" w:rsidRPr="00DB12D1" w:rsidRDefault="0041649A" w:rsidP="00B21479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 xml:space="preserve">Кількість колективних закладів розміщення </w:t>
            </w:r>
          </w:p>
        </w:tc>
        <w:tc>
          <w:tcPr>
            <w:tcW w:w="1275" w:type="dxa"/>
            <w:hideMark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одиниць</w:t>
            </w:r>
          </w:p>
        </w:tc>
        <w:tc>
          <w:tcPr>
            <w:tcW w:w="1134" w:type="dxa"/>
            <w:hideMark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194</w:t>
            </w:r>
          </w:p>
        </w:tc>
        <w:tc>
          <w:tcPr>
            <w:tcW w:w="1134" w:type="dxa"/>
            <w:hideMark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171</w:t>
            </w:r>
          </w:p>
        </w:tc>
        <w:tc>
          <w:tcPr>
            <w:tcW w:w="1134" w:type="dxa"/>
            <w:hideMark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186</w:t>
            </w:r>
          </w:p>
        </w:tc>
        <w:tc>
          <w:tcPr>
            <w:tcW w:w="1134" w:type="dxa"/>
            <w:noWrap/>
            <w:hideMark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189</w:t>
            </w:r>
          </w:p>
        </w:tc>
        <w:tc>
          <w:tcPr>
            <w:tcW w:w="1276" w:type="dxa"/>
          </w:tcPr>
          <w:p w:rsidR="0041649A" w:rsidRPr="00DB12D1" w:rsidRDefault="00AB7C46" w:rsidP="00AB7C46">
            <w:pPr>
              <w:ind w:left="-284" w:firstLine="284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  <w:r w:rsidRPr="00DB12D1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191</w:t>
            </w:r>
            <w:r w:rsidR="00CB5A43" w:rsidRPr="00DB12D1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*</w:t>
            </w:r>
          </w:p>
        </w:tc>
      </w:tr>
      <w:tr w:rsidR="00F850F5" w:rsidRPr="00DB12D1" w:rsidTr="008F7DA4">
        <w:trPr>
          <w:trHeight w:val="240"/>
        </w:trPr>
        <w:tc>
          <w:tcPr>
            <w:tcW w:w="3261" w:type="dxa"/>
            <w:hideMark/>
          </w:tcPr>
          <w:p w:rsidR="0041649A" w:rsidRPr="00DB12D1" w:rsidRDefault="00EB2EFD" w:rsidP="00EB2EFD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Середня завантаженість го</w:t>
            </w:r>
            <w:r w:rsidR="0041649A"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телів</w:t>
            </w:r>
          </w:p>
        </w:tc>
        <w:tc>
          <w:tcPr>
            <w:tcW w:w="1275" w:type="dxa"/>
            <w:hideMark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%</w:t>
            </w:r>
          </w:p>
        </w:tc>
        <w:tc>
          <w:tcPr>
            <w:tcW w:w="1134" w:type="dxa"/>
            <w:hideMark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26,0</w:t>
            </w:r>
          </w:p>
        </w:tc>
        <w:tc>
          <w:tcPr>
            <w:tcW w:w="1134" w:type="dxa"/>
            <w:hideMark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27,0</w:t>
            </w:r>
          </w:p>
        </w:tc>
        <w:tc>
          <w:tcPr>
            <w:tcW w:w="1134" w:type="dxa"/>
            <w:hideMark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34,0</w:t>
            </w:r>
          </w:p>
        </w:tc>
        <w:tc>
          <w:tcPr>
            <w:tcW w:w="1134" w:type="dxa"/>
            <w:noWrap/>
            <w:hideMark/>
          </w:tcPr>
          <w:p w:rsidR="0041649A" w:rsidRPr="00DB12D1" w:rsidRDefault="0041649A" w:rsidP="00B21479">
            <w:pPr>
              <w:ind w:left="-284" w:firstLine="28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</w:pP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4</w:t>
            </w:r>
            <w:r w:rsidR="00B21479"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2</w:t>
            </w:r>
            <w:r w:rsidRPr="00DB12D1">
              <w:rPr>
                <w:rFonts w:ascii="Times New Roman" w:eastAsiaTheme="minorEastAsia" w:hAnsi="Times New Roman" w:cs="Times New Roman"/>
                <w:sz w:val="26"/>
                <w:szCs w:val="26"/>
                <w:lang w:val="uk-UA" w:eastAsia="ru-RU"/>
              </w:rPr>
              <w:t>,0</w:t>
            </w:r>
          </w:p>
        </w:tc>
        <w:tc>
          <w:tcPr>
            <w:tcW w:w="1276" w:type="dxa"/>
          </w:tcPr>
          <w:p w:rsidR="0041649A" w:rsidRPr="00DB12D1" w:rsidRDefault="0041649A" w:rsidP="003B40FF">
            <w:pPr>
              <w:ind w:left="-284" w:firstLine="284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  <w:r w:rsidRPr="00DB12D1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4</w:t>
            </w:r>
            <w:r w:rsidR="00AB7C46" w:rsidRPr="00DB12D1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8</w:t>
            </w:r>
            <w:r w:rsidRPr="00DB12D1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,0</w:t>
            </w:r>
            <w:r w:rsidR="00CB5A43" w:rsidRPr="00DB12D1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*</w:t>
            </w:r>
          </w:p>
        </w:tc>
      </w:tr>
    </w:tbl>
    <w:p w:rsidR="00AB7C46" w:rsidRDefault="00B36BCB" w:rsidP="003B40FF">
      <w:pPr>
        <w:spacing w:after="0" w:line="240" w:lineRule="auto"/>
        <w:ind w:left="-284" w:firstLine="284"/>
        <w:jc w:val="both"/>
        <w:rPr>
          <w:rFonts w:ascii="Times New Roman" w:eastAsiaTheme="minorEastAsia" w:hAnsi="Times New Roman" w:cs="Times New Roman"/>
          <w:bCs/>
          <w:i/>
          <w:sz w:val="26"/>
          <w:szCs w:val="26"/>
          <w:lang w:val="uk-UA" w:eastAsia="uk-UA"/>
        </w:rPr>
      </w:pPr>
      <w:r>
        <w:rPr>
          <w:rFonts w:ascii="Times New Roman" w:eastAsiaTheme="minorEastAsia" w:hAnsi="Times New Roman" w:cs="Times New Roman"/>
          <w:bCs/>
          <w:i/>
          <w:sz w:val="26"/>
          <w:szCs w:val="26"/>
          <w:lang w:val="uk-UA" w:eastAsia="uk-UA"/>
        </w:rPr>
        <w:t>* п</w:t>
      </w:r>
      <w:r w:rsidR="00CB5A43" w:rsidRPr="00DB12D1">
        <w:rPr>
          <w:rFonts w:ascii="Times New Roman" w:eastAsiaTheme="minorEastAsia" w:hAnsi="Times New Roman" w:cs="Times New Roman"/>
          <w:bCs/>
          <w:i/>
          <w:sz w:val="26"/>
          <w:szCs w:val="26"/>
          <w:lang w:val="uk-UA" w:eastAsia="uk-UA"/>
        </w:rPr>
        <w:t>рогнозне значення</w:t>
      </w:r>
      <w:r>
        <w:rPr>
          <w:rFonts w:ascii="Times New Roman" w:eastAsiaTheme="minorEastAsia" w:hAnsi="Times New Roman" w:cs="Times New Roman"/>
          <w:bCs/>
          <w:i/>
          <w:sz w:val="26"/>
          <w:szCs w:val="26"/>
          <w:lang w:val="uk-UA" w:eastAsia="uk-UA"/>
        </w:rPr>
        <w:t xml:space="preserve"> (отримання фактичних статистичних даних за 2018 рік можливе після опрацювання даних ГУ статистики у м. Києві)</w:t>
      </w:r>
      <w:r w:rsidR="00502F2C">
        <w:rPr>
          <w:rFonts w:ascii="Times New Roman" w:eastAsiaTheme="minorEastAsia" w:hAnsi="Times New Roman" w:cs="Times New Roman"/>
          <w:bCs/>
          <w:i/>
          <w:sz w:val="26"/>
          <w:szCs w:val="26"/>
          <w:lang w:val="uk-UA" w:eastAsia="uk-UA"/>
        </w:rPr>
        <w:t>.</w:t>
      </w:r>
    </w:p>
    <w:p w:rsidR="00502F2C" w:rsidRPr="00DB12D1" w:rsidRDefault="00502F2C" w:rsidP="003B40FF">
      <w:pPr>
        <w:spacing w:after="0" w:line="240" w:lineRule="auto"/>
        <w:ind w:left="-284" w:firstLine="284"/>
        <w:jc w:val="both"/>
        <w:rPr>
          <w:rFonts w:ascii="Times New Roman" w:eastAsiaTheme="minorEastAsia" w:hAnsi="Times New Roman" w:cs="Times New Roman"/>
          <w:bCs/>
          <w:i/>
          <w:sz w:val="26"/>
          <w:szCs w:val="26"/>
          <w:lang w:val="uk-UA" w:eastAsia="uk-UA"/>
        </w:rPr>
      </w:pPr>
    </w:p>
    <w:p w:rsidR="0098630D" w:rsidRPr="00DB12D1" w:rsidRDefault="0098630D" w:rsidP="003B40FF">
      <w:pPr>
        <w:spacing w:after="0" w:line="240" w:lineRule="auto"/>
        <w:ind w:left="-284" w:firstLine="284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sz w:val="26"/>
          <w:szCs w:val="26"/>
          <w:lang w:val="uk-UA" w:eastAsia="uk-UA"/>
        </w:rPr>
      </w:pPr>
      <w:r w:rsidRPr="00DB12D1">
        <w:rPr>
          <w:rFonts w:ascii="Times New Roman" w:eastAsiaTheme="minorEastAsia" w:hAnsi="Times New Roman" w:cs="Times New Roman"/>
          <w:b/>
          <w:bCs/>
          <w:color w:val="000000" w:themeColor="text1"/>
          <w:sz w:val="26"/>
          <w:szCs w:val="26"/>
          <w:lang w:val="uk-UA" w:eastAsia="uk-UA"/>
        </w:rPr>
        <w:t xml:space="preserve">2. Пропозиції щодо забезпечення подальшого виконання </w:t>
      </w:r>
    </w:p>
    <w:p w:rsidR="00B0071A" w:rsidRDefault="0098630D" w:rsidP="00B36BCB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6"/>
          <w:szCs w:val="26"/>
          <w:lang w:val="uk-UA" w:eastAsia="uk-UA"/>
        </w:rPr>
      </w:pPr>
      <w:r w:rsidRPr="00DB12D1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uk-UA" w:eastAsia="uk-UA"/>
        </w:rPr>
        <w:t xml:space="preserve">З метою </w:t>
      </w:r>
      <w:r w:rsidRPr="00DB12D1">
        <w:rPr>
          <w:rFonts w:ascii="Times New Roman" w:eastAsiaTheme="minorEastAsia" w:hAnsi="Times New Roman" w:cs="Times New Roman"/>
          <w:color w:val="000000" w:themeColor="text1"/>
          <w:sz w:val="26"/>
          <w:szCs w:val="26"/>
          <w:lang w:val="uk-UA" w:eastAsia="uk-UA"/>
        </w:rPr>
        <w:t xml:space="preserve">забезпечення подальшого ефективного виконання </w:t>
      </w:r>
      <w:r w:rsidR="00E5332A" w:rsidRPr="00DB12D1">
        <w:rPr>
          <w:rFonts w:ascii="Times New Roman" w:hAnsi="Times New Roman" w:cs="Times New Roman"/>
          <w:sz w:val="26"/>
          <w:szCs w:val="26"/>
          <w:lang w:val="uk-UA"/>
        </w:rPr>
        <w:t>Міської цільової програми розвитку туризму в місті Києві на 201</w:t>
      </w:r>
      <w:r w:rsidR="00E5332A">
        <w:rPr>
          <w:rFonts w:ascii="Times New Roman" w:hAnsi="Times New Roman" w:cs="Times New Roman"/>
          <w:sz w:val="26"/>
          <w:szCs w:val="26"/>
          <w:lang w:val="uk-UA"/>
        </w:rPr>
        <w:t>9-2021</w:t>
      </w:r>
      <w:r w:rsidR="00E5332A" w:rsidRPr="00DB12D1">
        <w:rPr>
          <w:rFonts w:ascii="Times New Roman" w:hAnsi="Times New Roman" w:cs="Times New Roman"/>
          <w:sz w:val="26"/>
          <w:szCs w:val="26"/>
          <w:lang w:val="uk-UA"/>
        </w:rPr>
        <w:t xml:space="preserve"> роки</w:t>
      </w:r>
      <w:r w:rsidR="00E5332A">
        <w:rPr>
          <w:rFonts w:ascii="Times New Roman" w:eastAsiaTheme="minorEastAsia" w:hAnsi="Times New Roman" w:cs="Times New Roman"/>
          <w:color w:val="000000" w:themeColor="text1"/>
          <w:sz w:val="26"/>
          <w:szCs w:val="26"/>
          <w:lang w:val="uk-UA" w:eastAsia="uk-UA"/>
        </w:rPr>
        <w:t xml:space="preserve"> за кількісними і якісними показниками</w:t>
      </w:r>
      <w:r w:rsidRPr="00DB12D1">
        <w:rPr>
          <w:rFonts w:ascii="Times New Roman" w:eastAsiaTheme="minorEastAsia" w:hAnsi="Times New Roman" w:cs="Times New Roman"/>
          <w:color w:val="000000" w:themeColor="text1"/>
          <w:sz w:val="26"/>
          <w:szCs w:val="26"/>
          <w:lang w:val="uk-UA" w:eastAsia="uk-UA"/>
        </w:rPr>
        <w:t xml:space="preserve"> необхідн</w:t>
      </w:r>
      <w:r w:rsidR="00AB7C46" w:rsidRPr="00DB12D1">
        <w:rPr>
          <w:rFonts w:ascii="Times New Roman" w:eastAsiaTheme="minorEastAsia" w:hAnsi="Times New Roman" w:cs="Times New Roman"/>
          <w:color w:val="000000" w:themeColor="text1"/>
          <w:sz w:val="26"/>
          <w:szCs w:val="26"/>
          <w:lang w:val="uk-UA" w:eastAsia="uk-UA"/>
        </w:rPr>
        <w:t xml:space="preserve">е </w:t>
      </w:r>
      <w:r w:rsidR="00E5332A">
        <w:rPr>
          <w:rFonts w:ascii="Times New Roman" w:eastAsiaTheme="minorEastAsia" w:hAnsi="Times New Roman" w:cs="Times New Roman"/>
          <w:color w:val="000000" w:themeColor="text1"/>
          <w:sz w:val="26"/>
          <w:szCs w:val="26"/>
          <w:lang w:val="uk-UA" w:eastAsia="uk-UA"/>
        </w:rPr>
        <w:t>фінансування її</w:t>
      </w:r>
      <w:bookmarkStart w:id="0" w:name="_GoBack"/>
      <w:bookmarkEnd w:id="0"/>
      <w:r w:rsidRPr="00DB12D1">
        <w:rPr>
          <w:rFonts w:ascii="Times New Roman" w:eastAsiaTheme="minorEastAsia" w:hAnsi="Times New Roman" w:cs="Times New Roman"/>
          <w:color w:val="000000" w:themeColor="text1"/>
          <w:sz w:val="26"/>
          <w:szCs w:val="26"/>
          <w:lang w:val="uk-UA" w:eastAsia="uk-UA"/>
        </w:rPr>
        <w:t xml:space="preserve"> завдань та заходів</w:t>
      </w:r>
      <w:r w:rsidR="00AB7C46" w:rsidRPr="00DB12D1">
        <w:rPr>
          <w:rFonts w:ascii="Times New Roman" w:eastAsiaTheme="minorEastAsia" w:hAnsi="Times New Roman" w:cs="Times New Roman"/>
          <w:color w:val="000000" w:themeColor="text1"/>
          <w:sz w:val="26"/>
          <w:szCs w:val="26"/>
          <w:lang w:val="uk-UA" w:eastAsia="uk-UA"/>
        </w:rPr>
        <w:t xml:space="preserve"> у повному обсязі</w:t>
      </w:r>
      <w:r w:rsidR="00502F2C">
        <w:rPr>
          <w:rFonts w:ascii="Times New Roman" w:eastAsiaTheme="minorEastAsia" w:hAnsi="Times New Roman" w:cs="Times New Roman"/>
          <w:color w:val="000000" w:themeColor="text1"/>
          <w:sz w:val="26"/>
          <w:szCs w:val="26"/>
          <w:lang w:val="uk-UA" w:eastAsia="uk-UA"/>
        </w:rPr>
        <w:t>.</w:t>
      </w:r>
    </w:p>
    <w:p w:rsidR="002801D8" w:rsidRDefault="002801D8" w:rsidP="00B36BCB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6"/>
          <w:szCs w:val="26"/>
          <w:lang w:val="uk-UA" w:eastAsia="uk-UA"/>
        </w:rPr>
      </w:pPr>
    </w:p>
    <w:p w:rsidR="002801D8" w:rsidRDefault="002801D8" w:rsidP="00B36BCB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6"/>
          <w:szCs w:val="26"/>
          <w:lang w:val="uk-UA" w:eastAsia="uk-UA"/>
        </w:rPr>
      </w:pPr>
    </w:p>
    <w:p w:rsidR="002801D8" w:rsidRDefault="002801D8" w:rsidP="00B36BCB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6"/>
          <w:szCs w:val="26"/>
          <w:lang w:val="uk-UA" w:eastAsia="uk-UA"/>
        </w:rPr>
      </w:pPr>
    </w:p>
    <w:p w:rsidR="002801D8" w:rsidRDefault="002801D8" w:rsidP="00B36BCB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6"/>
          <w:szCs w:val="26"/>
          <w:lang w:val="uk-UA" w:eastAsia="uk-UA"/>
        </w:rPr>
      </w:pPr>
    </w:p>
    <w:p w:rsidR="002801D8" w:rsidRPr="00DB12D1" w:rsidRDefault="002801D8" w:rsidP="002801D8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6"/>
          <w:szCs w:val="26"/>
          <w:lang w:val="uk-UA" w:eastAsia="uk-UA"/>
        </w:rPr>
      </w:pPr>
      <w:r w:rsidRPr="002801D8">
        <w:rPr>
          <w:rFonts w:ascii="Times New Roman" w:eastAsiaTheme="minorEastAsia" w:hAnsi="Times New Roman" w:cs="Times New Roman"/>
          <w:color w:val="000000" w:themeColor="text1"/>
          <w:sz w:val="26"/>
          <w:szCs w:val="26"/>
          <w:lang w:val="uk-UA" w:eastAsia="uk-UA"/>
        </w:rPr>
        <w:t>Начальник Управління туризму та промоцій</w:t>
      </w: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  <w:lang w:val="uk-UA" w:eastAsia="uk-UA"/>
        </w:rPr>
        <w:tab/>
      </w: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  <w:lang w:val="uk-UA" w:eastAsia="uk-UA"/>
        </w:rPr>
        <w:tab/>
      </w: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  <w:lang w:val="uk-UA" w:eastAsia="uk-UA"/>
        </w:rPr>
        <w:tab/>
      </w: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  <w:lang w:val="uk-UA" w:eastAsia="uk-UA"/>
        </w:rPr>
        <w:tab/>
        <w:t>А. ТАРАНЕНКО</w:t>
      </w:r>
    </w:p>
    <w:sectPr w:rsidR="002801D8" w:rsidRPr="00DB12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7B51"/>
    <w:multiLevelType w:val="hybridMultilevel"/>
    <w:tmpl w:val="52142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15D78"/>
    <w:multiLevelType w:val="hybridMultilevel"/>
    <w:tmpl w:val="1D3CE524"/>
    <w:lvl w:ilvl="0" w:tplc="2140E4FC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91A4DE5"/>
    <w:multiLevelType w:val="hybridMultilevel"/>
    <w:tmpl w:val="1D080E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A657E"/>
    <w:multiLevelType w:val="hybridMultilevel"/>
    <w:tmpl w:val="EE1A1040"/>
    <w:lvl w:ilvl="0" w:tplc="121C3EA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C5C59"/>
    <w:multiLevelType w:val="hybridMultilevel"/>
    <w:tmpl w:val="F42A88AE"/>
    <w:lvl w:ilvl="0" w:tplc="E09088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88CF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6045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447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06FE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96E1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24EB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04E2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E487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F8F24D9"/>
    <w:multiLevelType w:val="hybridMultilevel"/>
    <w:tmpl w:val="3E64D720"/>
    <w:lvl w:ilvl="0" w:tplc="F092B8CE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CF561A"/>
    <w:multiLevelType w:val="hybridMultilevel"/>
    <w:tmpl w:val="F4C2720A"/>
    <w:lvl w:ilvl="0" w:tplc="F6AA7F6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B0C38"/>
    <w:multiLevelType w:val="hybridMultilevel"/>
    <w:tmpl w:val="E4CE794E"/>
    <w:lvl w:ilvl="0" w:tplc="200E2E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132B0"/>
    <w:multiLevelType w:val="hybridMultilevel"/>
    <w:tmpl w:val="A030DCCC"/>
    <w:lvl w:ilvl="0" w:tplc="121C3EAC">
      <w:start w:val="4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81C7551"/>
    <w:multiLevelType w:val="hybridMultilevel"/>
    <w:tmpl w:val="D50A9C4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4912EF1"/>
    <w:multiLevelType w:val="hybridMultilevel"/>
    <w:tmpl w:val="96E0B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605850"/>
    <w:multiLevelType w:val="hybridMultilevel"/>
    <w:tmpl w:val="80F84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C00DDE"/>
    <w:multiLevelType w:val="hybridMultilevel"/>
    <w:tmpl w:val="B3BA65A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6B7CF1"/>
    <w:multiLevelType w:val="hybridMultilevel"/>
    <w:tmpl w:val="13AE7B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4E4595"/>
    <w:multiLevelType w:val="hybridMultilevel"/>
    <w:tmpl w:val="A2FC1E06"/>
    <w:lvl w:ilvl="0" w:tplc="DB88A2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81B20E4"/>
    <w:multiLevelType w:val="hybridMultilevel"/>
    <w:tmpl w:val="0D4466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2B4D97"/>
    <w:multiLevelType w:val="hybridMultilevel"/>
    <w:tmpl w:val="07B61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5"/>
  </w:num>
  <w:num w:numId="5">
    <w:abstractNumId w:val="0"/>
  </w:num>
  <w:num w:numId="6">
    <w:abstractNumId w:val="7"/>
  </w:num>
  <w:num w:numId="7">
    <w:abstractNumId w:val="12"/>
  </w:num>
  <w:num w:numId="8">
    <w:abstractNumId w:val="10"/>
  </w:num>
  <w:num w:numId="9">
    <w:abstractNumId w:val="13"/>
  </w:num>
  <w:num w:numId="10">
    <w:abstractNumId w:val="6"/>
  </w:num>
  <w:num w:numId="11">
    <w:abstractNumId w:val="2"/>
  </w:num>
  <w:num w:numId="12">
    <w:abstractNumId w:val="3"/>
  </w:num>
  <w:num w:numId="13">
    <w:abstractNumId w:val="11"/>
  </w:num>
  <w:num w:numId="14">
    <w:abstractNumId w:val="16"/>
  </w:num>
  <w:num w:numId="15">
    <w:abstractNumId w:val="14"/>
  </w:num>
  <w:num w:numId="16">
    <w:abstractNumId w:val="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BD5"/>
    <w:rsid w:val="000140B1"/>
    <w:rsid w:val="0002538A"/>
    <w:rsid w:val="00027724"/>
    <w:rsid w:val="000503F5"/>
    <w:rsid w:val="00097177"/>
    <w:rsid w:val="000A33A1"/>
    <w:rsid w:val="000B1443"/>
    <w:rsid w:val="000B325C"/>
    <w:rsid w:val="000C45AA"/>
    <w:rsid w:val="000E38FD"/>
    <w:rsid w:val="000E6E04"/>
    <w:rsid w:val="000F202C"/>
    <w:rsid w:val="001003D1"/>
    <w:rsid w:val="00132241"/>
    <w:rsid w:val="001434A8"/>
    <w:rsid w:val="00151B3F"/>
    <w:rsid w:val="001553ED"/>
    <w:rsid w:val="00166A62"/>
    <w:rsid w:val="0017643C"/>
    <w:rsid w:val="00192998"/>
    <w:rsid w:val="001942F3"/>
    <w:rsid w:val="001E13CA"/>
    <w:rsid w:val="001F3726"/>
    <w:rsid w:val="001F58DE"/>
    <w:rsid w:val="00200373"/>
    <w:rsid w:val="002278B8"/>
    <w:rsid w:val="002352D9"/>
    <w:rsid w:val="00247A9D"/>
    <w:rsid w:val="00273640"/>
    <w:rsid w:val="0027704B"/>
    <w:rsid w:val="002801D8"/>
    <w:rsid w:val="002819EC"/>
    <w:rsid w:val="00281EF1"/>
    <w:rsid w:val="00283A16"/>
    <w:rsid w:val="00286EC2"/>
    <w:rsid w:val="002A1A01"/>
    <w:rsid w:val="002A3ADC"/>
    <w:rsid w:val="002C5AFD"/>
    <w:rsid w:val="002C6451"/>
    <w:rsid w:val="002F159D"/>
    <w:rsid w:val="00301C7F"/>
    <w:rsid w:val="0030392B"/>
    <w:rsid w:val="00324282"/>
    <w:rsid w:val="00344011"/>
    <w:rsid w:val="00352552"/>
    <w:rsid w:val="003640AC"/>
    <w:rsid w:val="00366FE3"/>
    <w:rsid w:val="0038093B"/>
    <w:rsid w:val="003A7B0F"/>
    <w:rsid w:val="003B40FF"/>
    <w:rsid w:val="003B5039"/>
    <w:rsid w:val="003D2D69"/>
    <w:rsid w:val="003D3ED2"/>
    <w:rsid w:val="003E1E9D"/>
    <w:rsid w:val="003F204D"/>
    <w:rsid w:val="004072EB"/>
    <w:rsid w:val="0041649A"/>
    <w:rsid w:val="00424194"/>
    <w:rsid w:val="00446AEB"/>
    <w:rsid w:val="00446E7F"/>
    <w:rsid w:val="00447C0C"/>
    <w:rsid w:val="00485642"/>
    <w:rsid w:val="004C4FA6"/>
    <w:rsid w:val="004E27FA"/>
    <w:rsid w:val="00502F2C"/>
    <w:rsid w:val="00510BBD"/>
    <w:rsid w:val="00516D96"/>
    <w:rsid w:val="00532289"/>
    <w:rsid w:val="00537EAA"/>
    <w:rsid w:val="00542271"/>
    <w:rsid w:val="00557C5C"/>
    <w:rsid w:val="00560396"/>
    <w:rsid w:val="00575280"/>
    <w:rsid w:val="005A79A7"/>
    <w:rsid w:val="005B06A7"/>
    <w:rsid w:val="005B328C"/>
    <w:rsid w:val="005C534B"/>
    <w:rsid w:val="005D053C"/>
    <w:rsid w:val="005F0CEA"/>
    <w:rsid w:val="00613449"/>
    <w:rsid w:val="00614A3E"/>
    <w:rsid w:val="0061552E"/>
    <w:rsid w:val="006249A7"/>
    <w:rsid w:val="00642124"/>
    <w:rsid w:val="00642F7A"/>
    <w:rsid w:val="0065119A"/>
    <w:rsid w:val="006565AA"/>
    <w:rsid w:val="00666E80"/>
    <w:rsid w:val="00673193"/>
    <w:rsid w:val="006A0C16"/>
    <w:rsid w:val="006B07D9"/>
    <w:rsid w:val="006E40CC"/>
    <w:rsid w:val="006F595F"/>
    <w:rsid w:val="00712EFC"/>
    <w:rsid w:val="00715D1A"/>
    <w:rsid w:val="00751B25"/>
    <w:rsid w:val="007807E9"/>
    <w:rsid w:val="007B4C15"/>
    <w:rsid w:val="007C05F9"/>
    <w:rsid w:val="007F5D21"/>
    <w:rsid w:val="008123A5"/>
    <w:rsid w:val="00813837"/>
    <w:rsid w:val="0081581D"/>
    <w:rsid w:val="00836E64"/>
    <w:rsid w:val="00851384"/>
    <w:rsid w:val="00877B7B"/>
    <w:rsid w:val="0088291F"/>
    <w:rsid w:val="00884FD4"/>
    <w:rsid w:val="00885B56"/>
    <w:rsid w:val="008861C1"/>
    <w:rsid w:val="00890CC0"/>
    <w:rsid w:val="008A0F66"/>
    <w:rsid w:val="008B162E"/>
    <w:rsid w:val="008D29BF"/>
    <w:rsid w:val="008D7536"/>
    <w:rsid w:val="008E0E3F"/>
    <w:rsid w:val="008F7DA4"/>
    <w:rsid w:val="0090629C"/>
    <w:rsid w:val="00906ABD"/>
    <w:rsid w:val="00914AE0"/>
    <w:rsid w:val="00920386"/>
    <w:rsid w:val="00935A71"/>
    <w:rsid w:val="009411FC"/>
    <w:rsid w:val="009561CA"/>
    <w:rsid w:val="009624A2"/>
    <w:rsid w:val="009665A7"/>
    <w:rsid w:val="00980489"/>
    <w:rsid w:val="0098630D"/>
    <w:rsid w:val="00990118"/>
    <w:rsid w:val="00995B71"/>
    <w:rsid w:val="009B1ADF"/>
    <w:rsid w:val="009C0423"/>
    <w:rsid w:val="009C5E53"/>
    <w:rsid w:val="009D2F6D"/>
    <w:rsid w:val="009E5CD6"/>
    <w:rsid w:val="00A169CF"/>
    <w:rsid w:val="00A16CBC"/>
    <w:rsid w:val="00A501C6"/>
    <w:rsid w:val="00A52BC2"/>
    <w:rsid w:val="00A66C0D"/>
    <w:rsid w:val="00A84B49"/>
    <w:rsid w:val="00AA301D"/>
    <w:rsid w:val="00AB0945"/>
    <w:rsid w:val="00AB5320"/>
    <w:rsid w:val="00AB79B2"/>
    <w:rsid w:val="00AB7C46"/>
    <w:rsid w:val="00AC0C76"/>
    <w:rsid w:val="00AC545D"/>
    <w:rsid w:val="00AD1651"/>
    <w:rsid w:val="00B0071A"/>
    <w:rsid w:val="00B12C55"/>
    <w:rsid w:val="00B21479"/>
    <w:rsid w:val="00B36BCB"/>
    <w:rsid w:val="00B73B4E"/>
    <w:rsid w:val="00B86DF1"/>
    <w:rsid w:val="00B87EAC"/>
    <w:rsid w:val="00BA2585"/>
    <w:rsid w:val="00BA2B9E"/>
    <w:rsid w:val="00BC3694"/>
    <w:rsid w:val="00BD5D09"/>
    <w:rsid w:val="00BF00DF"/>
    <w:rsid w:val="00BF080F"/>
    <w:rsid w:val="00C00949"/>
    <w:rsid w:val="00C04776"/>
    <w:rsid w:val="00C10237"/>
    <w:rsid w:val="00C15ABE"/>
    <w:rsid w:val="00C650E4"/>
    <w:rsid w:val="00C74963"/>
    <w:rsid w:val="00C915C7"/>
    <w:rsid w:val="00C95216"/>
    <w:rsid w:val="00CA3D13"/>
    <w:rsid w:val="00CA53F5"/>
    <w:rsid w:val="00CB5A43"/>
    <w:rsid w:val="00CB6175"/>
    <w:rsid w:val="00CB68ED"/>
    <w:rsid w:val="00CD2D13"/>
    <w:rsid w:val="00CD7E44"/>
    <w:rsid w:val="00CE6D3A"/>
    <w:rsid w:val="00D06B99"/>
    <w:rsid w:val="00D06BDD"/>
    <w:rsid w:val="00D2734E"/>
    <w:rsid w:val="00D30808"/>
    <w:rsid w:val="00D618B2"/>
    <w:rsid w:val="00D80A95"/>
    <w:rsid w:val="00D91416"/>
    <w:rsid w:val="00DB12D1"/>
    <w:rsid w:val="00DE7C98"/>
    <w:rsid w:val="00DF2B5C"/>
    <w:rsid w:val="00E014CE"/>
    <w:rsid w:val="00E02CEF"/>
    <w:rsid w:val="00E1255D"/>
    <w:rsid w:val="00E15434"/>
    <w:rsid w:val="00E241E4"/>
    <w:rsid w:val="00E30154"/>
    <w:rsid w:val="00E40D94"/>
    <w:rsid w:val="00E43420"/>
    <w:rsid w:val="00E5332A"/>
    <w:rsid w:val="00E75B61"/>
    <w:rsid w:val="00E76BD5"/>
    <w:rsid w:val="00E8477C"/>
    <w:rsid w:val="00EB2EFD"/>
    <w:rsid w:val="00EB583D"/>
    <w:rsid w:val="00EC1535"/>
    <w:rsid w:val="00ED4FCD"/>
    <w:rsid w:val="00ED5D16"/>
    <w:rsid w:val="00EE3BB4"/>
    <w:rsid w:val="00EF5A71"/>
    <w:rsid w:val="00F05A92"/>
    <w:rsid w:val="00F163BA"/>
    <w:rsid w:val="00F23D8A"/>
    <w:rsid w:val="00F330B8"/>
    <w:rsid w:val="00F43B5C"/>
    <w:rsid w:val="00F50183"/>
    <w:rsid w:val="00F54B10"/>
    <w:rsid w:val="00F60EFD"/>
    <w:rsid w:val="00F62CC6"/>
    <w:rsid w:val="00F850F5"/>
    <w:rsid w:val="00F87DFD"/>
    <w:rsid w:val="00FA0017"/>
    <w:rsid w:val="00FA2997"/>
    <w:rsid w:val="00FB20C5"/>
    <w:rsid w:val="00FB77F8"/>
    <w:rsid w:val="00FD7A7A"/>
    <w:rsid w:val="00FE7E9D"/>
    <w:rsid w:val="00FF2D0E"/>
    <w:rsid w:val="00FF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89B0C"/>
  <w15:docId w15:val="{4038159E-5195-4EBA-A723-24CCD462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6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61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6175"/>
    <w:rPr>
      <w:rFonts w:ascii="Segoe UI" w:hAnsi="Segoe UI" w:cs="Segoe UI"/>
      <w:sz w:val="18"/>
      <w:szCs w:val="18"/>
    </w:rPr>
  </w:style>
  <w:style w:type="paragraph" w:styleId="a6">
    <w:name w:val="List Paragraph"/>
    <w:aliases w:val="List Paragraph"/>
    <w:basedOn w:val="a"/>
    <w:uiPriority w:val="34"/>
    <w:qFormat/>
    <w:rsid w:val="00283A16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416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1942</Words>
  <Characters>11073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 А. Котельникова-Шпак</dc:creator>
  <cp:keywords/>
  <dc:description/>
  <cp:lastModifiedBy>Калганов Дмитро Олександрович</cp:lastModifiedBy>
  <cp:revision>9</cp:revision>
  <cp:lastPrinted>2019-03-11T14:14:00Z</cp:lastPrinted>
  <dcterms:created xsi:type="dcterms:W3CDTF">2019-02-28T14:58:00Z</dcterms:created>
  <dcterms:modified xsi:type="dcterms:W3CDTF">2019-03-11T14:15:00Z</dcterms:modified>
</cp:coreProperties>
</file>