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A3A" w:rsidRDefault="00183EB2" w:rsidP="00183EB2">
      <w:pPr>
        <w:spacing w:line="240" w:lineRule="auto"/>
        <w:rPr>
          <w:rStyle w:val="a7"/>
          <w:bCs w:val="0"/>
          <w:sz w:val="24"/>
          <w:szCs w:val="24"/>
        </w:rPr>
      </w:pPr>
      <w:r w:rsidRPr="00456407">
        <w:rPr>
          <w:rStyle w:val="a7"/>
          <w:bCs w:val="0"/>
          <w:sz w:val="24"/>
          <w:szCs w:val="24"/>
        </w:rPr>
        <w:t xml:space="preserve">Умови проведення конкурсу </w:t>
      </w:r>
    </w:p>
    <w:p w:rsidR="00E320FC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rStyle w:val="a7"/>
          <w:bCs w:val="0"/>
          <w:sz w:val="24"/>
          <w:szCs w:val="24"/>
        </w:rPr>
        <w:t xml:space="preserve">на посаду </w:t>
      </w:r>
      <w:r>
        <w:rPr>
          <w:b w:val="0"/>
          <w:sz w:val="24"/>
          <w:szCs w:val="24"/>
        </w:rPr>
        <w:t xml:space="preserve">головного спеціаліста відділу </w:t>
      </w:r>
      <w:r w:rsidR="00E320FC">
        <w:rPr>
          <w:b w:val="0"/>
          <w:sz w:val="24"/>
          <w:szCs w:val="24"/>
        </w:rPr>
        <w:t xml:space="preserve">організаційного забезпечення </w:t>
      </w:r>
      <w:r w:rsidRPr="00456407">
        <w:rPr>
          <w:b w:val="0"/>
          <w:sz w:val="24"/>
          <w:szCs w:val="24"/>
        </w:rPr>
        <w:t>Департаменту земельних ресурсів виконавчого органу Київської міської ради</w:t>
      </w:r>
    </w:p>
    <w:p w:rsidR="00183EB2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b w:val="0"/>
          <w:sz w:val="24"/>
          <w:szCs w:val="24"/>
        </w:rPr>
        <w:t xml:space="preserve"> (Київської міської державної адміністрації)</w:t>
      </w:r>
    </w:p>
    <w:p w:rsidR="0068614F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b w:val="0"/>
          <w:sz w:val="24"/>
          <w:szCs w:val="24"/>
        </w:rPr>
        <w:t>(категорія «</w:t>
      </w:r>
      <w:r>
        <w:rPr>
          <w:b w:val="0"/>
          <w:sz w:val="24"/>
          <w:szCs w:val="24"/>
        </w:rPr>
        <w:t>В</w:t>
      </w:r>
      <w:r w:rsidRPr="00456407">
        <w:rPr>
          <w:b w:val="0"/>
          <w:sz w:val="24"/>
          <w:szCs w:val="24"/>
        </w:rPr>
        <w:t>»)</w:t>
      </w:r>
    </w:p>
    <w:p w:rsidR="000F5A3A" w:rsidRDefault="000F5A3A" w:rsidP="00183EB2">
      <w:pPr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Оголошення ДЗР333К7</w:t>
      </w:r>
    </w:p>
    <w:p w:rsidR="0023416C" w:rsidRDefault="0023416C" w:rsidP="00183EB2">
      <w:pPr>
        <w:spacing w:line="240" w:lineRule="auto"/>
        <w:rPr>
          <w:b w:val="0"/>
          <w:sz w:val="24"/>
          <w:szCs w:val="24"/>
        </w:rPr>
      </w:pPr>
    </w:p>
    <w:tbl>
      <w:tblPr>
        <w:tblW w:w="5012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3"/>
        <w:gridCol w:w="2015"/>
        <w:gridCol w:w="6997"/>
      </w:tblGrid>
      <w:tr w:rsidR="00183EB2" w:rsidRPr="00456407" w:rsidTr="00D72381">
        <w:tc>
          <w:tcPr>
            <w:tcW w:w="5000" w:type="pct"/>
            <w:gridSpan w:val="4"/>
          </w:tcPr>
          <w:p w:rsidR="00183EB2" w:rsidRPr="00456407" w:rsidRDefault="00183EB2" w:rsidP="007B0B5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Загальні умови</w:t>
            </w:r>
          </w:p>
        </w:tc>
      </w:tr>
      <w:tr w:rsidR="00E83BBD" w:rsidRPr="00456407" w:rsidTr="000A36EB">
        <w:trPr>
          <w:trHeight w:val="557"/>
        </w:trPr>
        <w:tc>
          <w:tcPr>
            <w:tcW w:w="1375" w:type="pct"/>
            <w:gridSpan w:val="3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 xml:space="preserve">Посадові обов’язки </w:t>
            </w:r>
          </w:p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  <w:vAlign w:val="center"/>
          </w:tcPr>
          <w:p w:rsidR="0023416C" w:rsidRPr="0023416C" w:rsidRDefault="00E83BBD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23416C" w:rsidRPr="00E83BBD">
              <w:rPr>
                <w:b w:val="0"/>
                <w:sz w:val="24"/>
                <w:szCs w:val="24"/>
              </w:rPr>
              <w:t>Головний спеціаліст відділу організаційного забезпечення Департаменту земельних ресурсів виконавчого органу Київської міської ради (Київської міської державної адміністрації)</w:t>
            </w:r>
            <w:r w:rsidR="0023416C">
              <w:rPr>
                <w:b w:val="0"/>
                <w:sz w:val="24"/>
                <w:szCs w:val="24"/>
              </w:rPr>
              <w:t xml:space="preserve"> (далі – Департамент) здійснює</w:t>
            </w:r>
            <w:r w:rsidR="0023416C" w:rsidRPr="00E83BBD">
              <w:rPr>
                <w:b w:val="0"/>
                <w:sz w:val="24"/>
                <w:szCs w:val="24"/>
              </w:rPr>
              <w:t>:</w:t>
            </w:r>
          </w:p>
          <w:p w:rsidR="0023416C" w:rsidRPr="0023416C" w:rsidRDefault="0023416C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3416C">
              <w:rPr>
                <w:b w:val="0"/>
                <w:sz w:val="24"/>
                <w:szCs w:val="24"/>
              </w:rPr>
              <w:t>- планування робочого дня директора Департаменту та підготовки необхідних матеріалів із окремих питань управлінської діяльності;</w:t>
            </w:r>
          </w:p>
          <w:p w:rsidR="0023416C" w:rsidRPr="0023416C" w:rsidRDefault="0023416C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3416C">
              <w:rPr>
                <w:b w:val="0"/>
                <w:sz w:val="24"/>
                <w:szCs w:val="24"/>
              </w:rPr>
              <w:t>- ведення протоколів нарад, засідань, колегій Департаменту, їх облік та зберігання;</w:t>
            </w:r>
          </w:p>
          <w:p w:rsidR="0023416C" w:rsidRPr="0023416C" w:rsidRDefault="0023416C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3416C">
              <w:rPr>
                <w:b w:val="0"/>
                <w:sz w:val="24"/>
                <w:szCs w:val="24"/>
              </w:rPr>
              <w:t>- редагування вихідної кореспонденції Департаменту на відповідність вимогам офіційно-ділового стилю, інструкції з діловодства;</w:t>
            </w:r>
          </w:p>
          <w:p w:rsidR="0023416C" w:rsidRPr="0023416C" w:rsidRDefault="0023416C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3416C">
              <w:rPr>
                <w:b w:val="0"/>
                <w:sz w:val="24"/>
                <w:szCs w:val="24"/>
              </w:rPr>
              <w:t>- підготовки матеріалів державної та відомчої статистичної звітності.</w:t>
            </w:r>
          </w:p>
          <w:p w:rsidR="0023416C" w:rsidRPr="0023416C" w:rsidRDefault="0023416C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3416C">
              <w:rPr>
                <w:b w:val="0"/>
                <w:sz w:val="24"/>
                <w:szCs w:val="24"/>
              </w:rPr>
              <w:t>Здійснення розміщення та оновлення публічної інформації на сторінці Департаменту на Єдиному веб-порталі територіальної громади міста Києва, офіційному веб-сайті Департаменту, Єдиному державному веб-порталі відкритих даних.</w:t>
            </w:r>
          </w:p>
          <w:p w:rsidR="0023416C" w:rsidRPr="0023416C" w:rsidRDefault="0023416C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3416C">
              <w:rPr>
                <w:b w:val="0"/>
                <w:sz w:val="24"/>
                <w:szCs w:val="24"/>
              </w:rPr>
              <w:t xml:space="preserve">Розгляд та участь у розгляді запитів на отримання публічної інформації, депутатських звернень та запитів, запитів правоохоронних та інших органів, адвокатських запитів, звернень фізичних та юридичних осіб з питань, віднесених </w:t>
            </w:r>
          </w:p>
          <w:p w:rsidR="0023416C" w:rsidRPr="0023416C" w:rsidRDefault="0023416C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3416C">
              <w:rPr>
                <w:b w:val="0"/>
                <w:sz w:val="24"/>
                <w:szCs w:val="24"/>
              </w:rPr>
              <w:t>до компетенції відділу.</w:t>
            </w:r>
          </w:p>
          <w:p w:rsidR="0023416C" w:rsidRPr="0023416C" w:rsidRDefault="0023416C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3416C">
              <w:rPr>
                <w:b w:val="0"/>
                <w:sz w:val="24"/>
                <w:szCs w:val="24"/>
              </w:rPr>
              <w:t>Надання консультаційної та практичної допомоги з питань діяльності Департаменту за результатами розгляду звернень, що подаються громадянами, підприємствами, установами та організаціями, фізичними особами – підприємцями, органами державної влади, органами місцевого самоврядування за допомогою засобів телекомунікації.</w:t>
            </w:r>
          </w:p>
          <w:p w:rsidR="0023416C" w:rsidRPr="0023416C" w:rsidRDefault="0023416C" w:rsidP="0023416C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23416C">
              <w:rPr>
                <w:b w:val="0"/>
                <w:sz w:val="24"/>
                <w:szCs w:val="24"/>
              </w:rPr>
              <w:t>Підготовка та участь у підготовці матеріалів для здійснення претензійно-позовної роботи та виконання судових рішень в межах компетенції відділу.</w:t>
            </w:r>
          </w:p>
          <w:p w:rsidR="00E83BBD" w:rsidRPr="00E83BBD" w:rsidRDefault="0023416C" w:rsidP="0023416C">
            <w:pPr>
              <w:spacing w:line="240" w:lineRule="auto"/>
              <w:jc w:val="both"/>
              <w:rPr>
                <w:b w:val="0"/>
              </w:rPr>
            </w:pPr>
            <w:r w:rsidRPr="0023416C">
              <w:rPr>
                <w:b w:val="0"/>
                <w:sz w:val="24"/>
                <w:szCs w:val="24"/>
              </w:rPr>
              <w:t>Підготовка та погодження, а також участь у підготовці та погодженні проектів нормативно-правових актів, що стосуються компетенції відділу.</w:t>
            </w:r>
          </w:p>
        </w:tc>
      </w:tr>
      <w:tr w:rsidR="00E83BBD" w:rsidRPr="00456407" w:rsidTr="00B44181">
        <w:trPr>
          <w:cantSplit/>
        </w:trPr>
        <w:tc>
          <w:tcPr>
            <w:tcW w:w="1375" w:type="pct"/>
            <w:gridSpan w:val="3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Умови оплати праці</w:t>
            </w:r>
          </w:p>
        </w:tc>
        <w:tc>
          <w:tcPr>
            <w:tcW w:w="3625" w:type="pct"/>
          </w:tcPr>
          <w:p w:rsidR="00E83BBD" w:rsidRDefault="00E83BBD" w:rsidP="00E83BBD">
            <w:pPr>
              <w:pStyle w:val="rvps14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посадовий оклад відповідно до постанови Кабінету Міністрів України від 18.01.2017 № 15 «Про умови оплати праці працівників державних органів» (</w:t>
            </w:r>
            <w:r w:rsidRPr="00683E4D">
              <w:rPr>
                <w:lang w:val="uk-UA"/>
              </w:rPr>
              <w:t>в редакції постанови Кабінету Міністрів України</w:t>
            </w:r>
            <w:r>
              <w:rPr>
                <w:lang w:val="uk-UA"/>
              </w:rPr>
              <w:t xml:space="preserve"> № 16 </w:t>
            </w:r>
            <w:r w:rsidRPr="00683E4D">
              <w:rPr>
                <w:lang w:val="uk-UA"/>
              </w:rPr>
              <w:t xml:space="preserve"> </w:t>
            </w:r>
            <w:r>
              <w:rPr>
                <w:lang w:val="uk-UA"/>
              </w:rPr>
              <w:t>від 15 січня 2020 р.</w:t>
            </w:r>
            <w:r w:rsidRPr="00683E4D">
              <w:rPr>
                <w:lang w:val="uk-UA"/>
              </w:rPr>
              <w:t>),</w:t>
            </w:r>
            <w:r>
              <w:rPr>
                <w:lang w:val="uk-UA"/>
              </w:rPr>
              <w:t xml:space="preserve"> інші виплати відповідно до штатного розпису;</w:t>
            </w:r>
          </w:p>
          <w:p w:rsidR="00E83BBD" w:rsidRDefault="00E83BBD" w:rsidP="00E83BBD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надбавка до посадового окладу за ранг; </w:t>
            </w:r>
          </w:p>
          <w:p w:rsidR="00E83BBD" w:rsidRDefault="00E83BBD" w:rsidP="00E83BBD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інші надбавки, доплати та премії відповідно до статті 50, 52 Закону  України «Про державну службу». </w:t>
            </w:r>
          </w:p>
        </w:tc>
      </w:tr>
      <w:tr w:rsidR="00E83BBD" w:rsidRPr="00456407" w:rsidTr="00B44181">
        <w:tc>
          <w:tcPr>
            <w:tcW w:w="1375" w:type="pct"/>
            <w:gridSpan w:val="3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Інформація </w:t>
            </w:r>
            <w:r w:rsidRPr="00456407">
              <w:rPr>
                <w:b w:val="0"/>
                <w:sz w:val="24"/>
                <w:szCs w:val="24"/>
              </w:rPr>
              <w:t>про строковість чи безстроковість призначення на посаду</w:t>
            </w:r>
          </w:p>
        </w:tc>
        <w:tc>
          <w:tcPr>
            <w:tcW w:w="3625" w:type="pct"/>
          </w:tcPr>
          <w:p w:rsidR="00E83BBD" w:rsidRPr="002C1ECB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Безстроково</w:t>
            </w:r>
            <w:r w:rsidRPr="002C1ECB">
              <w:rPr>
                <w:b w:val="0"/>
                <w:sz w:val="24"/>
                <w:szCs w:val="24"/>
              </w:rPr>
              <w:t>:</w:t>
            </w:r>
          </w:p>
          <w:p w:rsidR="00E83BBD" w:rsidRPr="00456407" w:rsidRDefault="00E83BBD" w:rsidP="00E83BB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C1ECB">
              <w:rPr>
                <w:b w:val="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E83BBD" w:rsidRPr="00456407" w:rsidTr="00B44181">
        <w:trPr>
          <w:trHeight w:val="70"/>
        </w:trPr>
        <w:tc>
          <w:tcPr>
            <w:tcW w:w="1375" w:type="pct"/>
            <w:gridSpan w:val="3"/>
          </w:tcPr>
          <w:p w:rsidR="00E83BBD" w:rsidRPr="00456407" w:rsidRDefault="00E83BBD" w:rsidP="00E83BBD">
            <w:pPr>
              <w:pStyle w:val="rvps14"/>
              <w:rPr>
                <w:lang w:val="uk-UA"/>
              </w:rPr>
            </w:pPr>
            <w:r w:rsidRPr="00456407">
              <w:rPr>
                <w:lang w:val="uk-UA"/>
              </w:rPr>
              <w:lastRenderedPageBreak/>
              <w:t xml:space="preserve">Перелік </w:t>
            </w:r>
            <w:r>
              <w:rPr>
                <w:lang w:val="uk-UA"/>
              </w:rPr>
              <w:t>інформації, необхідної</w:t>
            </w:r>
            <w:r w:rsidRPr="00456407">
              <w:rPr>
                <w:lang w:val="uk-UA"/>
              </w:rPr>
              <w:t xml:space="preserve"> для участі в конкурсі, та строк їх подання</w:t>
            </w:r>
          </w:p>
          <w:p w:rsidR="00E83BBD" w:rsidRPr="00456407" w:rsidRDefault="00E83BBD" w:rsidP="00E83BBD">
            <w:pPr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</w:tcPr>
          <w:p w:rsidR="00E83BBD" w:rsidRPr="007775B1" w:rsidRDefault="00E83BBD" w:rsidP="00E83BBD">
            <w:pPr>
              <w:widowControl/>
              <w:numPr>
                <w:ilvl w:val="0"/>
                <w:numId w:val="8"/>
              </w:numPr>
              <w:shd w:val="clear" w:color="auto" w:fill="FFFFFF"/>
              <w:snapToGrid/>
              <w:spacing w:line="240" w:lineRule="auto"/>
              <w:ind w:left="34" w:firstLine="284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 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із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основних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мотивів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посади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                   до Порядку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проведення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затвердженого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постановою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Кабінету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Міністрів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25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березня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2016 року № 246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змінами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далі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– Порядок);</w:t>
            </w:r>
          </w:p>
          <w:p w:rsidR="00E83BBD" w:rsidRPr="007775B1" w:rsidRDefault="00E83BBD" w:rsidP="00E83BBD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2) резюме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 </w:t>
            </w:r>
            <w:proofErr w:type="spellStart"/>
            <w:r w:rsidR="00A13E66">
              <w:fldChar w:fldCharType="begin"/>
            </w:r>
            <w:r w:rsidR="00A13E66">
              <w:instrText xml:space="preserve"> HYPERLINK "https://zakon.rada.gov.ua/laws/show/246-2016-%D0%BF" \l "n1039" </w:instrText>
            </w:r>
            <w:r w:rsidR="00A13E66">
              <w:fldChar w:fldCharType="separate"/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</w:t>
            </w:r>
            <w:r w:rsidR="00A13E66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fldChar w:fldCharType="end"/>
            </w:r>
            <w:r w:rsidRPr="007775B1">
              <w:rPr>
                <w:b w:val="0"/>
                <w:vertAlign w:val="superscript"/>
              </w:rPr>
              <w:t>1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обов’язково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така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:</w:t>
            </w:r>
          </w:p>
          <w:p w:rsidR="00E83BBD" w:rsidRPr="007775B1" w:rsidRDefault="00E83BBD" w:rsidP="00E83BBD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0" w:name="n1172"/>
            <w:bookmarkEnd w:id="0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прізвище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ім’я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батькові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кандидата;</w:t>
            </w:r>
          </w:p>
          <w:p w:rsidR="00E83BBD" w:rsidRPr="007775B1" w:rsidRDefault="00E83BBD" w:rsidP="00E83BBD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1" w:name="n1173"/>
            <w:bookmarkEnd w:id="1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реквізити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документа,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посвідчує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особу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громадянство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E83BBD" w:rsidRPr="007775B1" w:rsidRDefault="00E83BBD" w:rsidP="00E83BBD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2" w:name="n1174"/>
            <w:bookmarkEnd w:id="2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ступеня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вищої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освіти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E83BBD" w:rsidRPr="007775B1" w:rsidRDefault="00E83BBD" w:rsidP="00E83BBD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3" w:name="n1175"/>
            <w:bookmarkStart w:id="4" w:name="n1176"/>
            <w:bookmarkEnd w:id="3"/>
            <w:bookmarkEnd w:id="4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досвід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сфері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визначеній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умовах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конкурсу,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керівних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вимог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);</w:t>
            </w:r>
          </w:p>
          <w:p w:rsidR="00E83BBD" w:rsidRDefault="00E83BBD" w:rsidP="00E83BBD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3)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 xml:space="preserve">заяву, в якій </w:t>
            </w: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особа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повідомляє, що до неї не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br/>
            </w: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застосовуються заборони, визначені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частиною </w:t>
            </w:r>
            <w:hyperlink r:id="rId5" w:anchor="n13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третьою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або </w:t>
            </w:r>
            <w:hyperlink r:id="rId6" w:anchor="n14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четвертою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статті 1 Закону України “Про очищення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влади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”,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згоду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проходження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перевірки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оприлюднення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відомостей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Закону;</w:t>
            </w:r>
          </w:p>
          <w:p w:rsidR="00E83BBD" w:rsidRPr="00DA643C" w:rsidRDefault="00E83BBD" w:rsidP="00E83BBD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</w:rPr>
            </w:pPr>
            <w:r w:rsidRPr="00F608D3">
              <w:rPr>
                <w:b w:val="0"/>
                <w:sz w:val="24"/>
                <w:szCs w:val="24"/>
                <w:shd w:val="clear" w:color="auto" w:fill="FFFFFF"/>
              </w:rPr>
              <w:t>4) копію Державного сертифікату про рівень володіння державною мовою (витяг з реєстру Держаних сертифікатів про рівень володіння державною мовою), що підтверджує рівень володіння державною мовою, визначений Національною комісі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>єю зі стандартів державної мови.</w:t>
            </w:r>
          </w:p>
          <w:p w:rsidR="00E83BBD" w:rsidRPr="007775B1" w:rsidRDefault="00E83BBD" w:rsidP="00E83BBD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Я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особою,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незалежно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обставин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подано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декларацію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особи,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уповноваженої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виконання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функцій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місцевого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самоврядування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минулий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рік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її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повторне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не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вимагається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.</w:t>
            </w:r>
          </w:p>
          <w:p w:rsidR="00E83BBD" w:rsidRPr="007775B1" w:rsidRDefault="00E83BBD" w:rsidP="00E83BBD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виявила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бажання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може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подавати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додаткову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відповідність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встановленим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вимогам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зокрема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попередніх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результатів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тестування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досвіду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професійних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компетентностей,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репутації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(характеристики,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рекомендації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наукові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публікації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тощо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>)</w:t>
            </w:r>
            <w:bookmarkStart w:id="5" w:name="n1182"/>
            <w:bookmarkEnd w:id="5"/>
            <w:r w:rsidRPr="007775B1">
              <w:rPr>
                <w:b w:val="0"/>
                <w:sz w:val="24"/>
                <w:szCs w:val="24"/>
                <w:lang w:val="ru-RU"/>
              </w:rPr>
              <w:t>.</w:t>
            </w:r>
          </w:p>
          <w:p w:rsidR="00E83BBD" w:rsidRPr="007775B1" w:rsidRDefault="00E83BBD" w:rsidP="00E83BBD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документи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подаються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накладається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кваліфікований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підпис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кандидата.</w:t>
            </w:r>
          </w:p>
          <w:p w:rsidR="00E83BBD" w:rsidRPr="007775B1" w:rsidRDefault="00E83BBD" w:rsidP="00E83BBD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6" w:name="n1183"/>
            <w:bookmarkStart w:id="7" w:name="n74"/>
            <w:bookmarkEnd w:id="6"/>
            <w:bookmarkEnd w:id="7"/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службовці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державного органу,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проводиться конкурс,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лише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E83BBD" w:rsidRPr="007775B1" w:rsidRDefault="00E83BBD" w:rsidP="00E83BBD">
            <w:pPr>
              <w:widowControl/>
              <w:snapToGrid/>
              <w:spacing w:line="240" w:lineRule="auto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комісії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через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Єдиний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портал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вакансій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посиланням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hyperlink r:id="rId7" w:history="1">
              <w:r w:rsidRPr="007775B1">
                <w:rPr>
                  <w:b w:val="0"/>
                  <w:sz w:val="22"/>
                  <w:szCs w:val="22"/>
                  <w:shd w:val="clear" w:color="auto" w:fill="FFFFFF"/>
                  <w:lang w:val="ru-RU"/>
                </w:rPr>
                <w:t>https://career.gov.ua/</w:t>
              </w:r>
            </w:hyperlink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E83BBD" w:rsidRPr="007775B1" w:rsidRDefault="00E83BBD" w:rsidP="00E83BBD">
            <w:pPr>
              <w:widowControl/>
              <w:snapToGrid/>
              <w:spacing w:line="240" w:lineRule="auto"/>
              <w:jc w:val="left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приймається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E83BBD" w:rsidRPr="007775B1" w:rsidRDefault="00B048F1" w:rsidP="00B048F1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>до 15:45</w:t>
            </w:r>
            <w:r w:rsidR="00E83BBD">
              <w:rPr>
                <w:sz w:val="24"/>
                <w:szCs w:val="24"/>
                <w:shd w:val="clear" w:color="auto" w:fill="FFFFFF"/>
                <w:lang w:val="ru-RU"/>
              </w:rPr>
              <w:t xml:space="preserve"> год. 00 </w:t>
            </w:r>
            <w:proofErr w:type="spellStart"/>
            <w:r w:rsidR="00E83BBD">
              <w:rPr>
                <w:sz w:val="24"/>
                <w:szCs w:val="24"/>
                <w:shd w:val="clear" w:color="auto" w:fill="FFFFFF"/>
                <w:lang w:val="ru-RU"/>
              </w:rPr>
              <w:t>хв</w:t>
            </w:r>
            <w:proofErr w:type="spellEnd"/>
            <w:r w:rsidR="00E83BBD">
              <w:rPr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>10</w:t>
            </w:r>
            <w:r w:rsidR="00E83BBD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E83BBD">
              <w:rPr>
                <w:sz w:val="24"/>
                <w:szCs w:val="24"/>
                <w:shd w:val="clear" w:color="auto" w:fill="FFFFFF"/>
                <w:lang w:val="ru-RU"/>
              </w:rPr>
              <w:t>грудня</w:t>
            </w:r>
            <w:proofErr w:type="spellEnd"/>
            <w:r w:rsidR="00E83BBD" w:rsidRPr="007775B1">
              <w:rPr>
                <w:sz w:val="24"/>
                <w:szCs w:val="24"/>
                <w:shd w:val="clear" w:color="auto" w:fill="FFFFFF"/>
                <w:lang w:val="ru-RU"/>
              </w:rPr>
              <w:t xml:space="preserve"> 2021 року</w:t>
            </w:r>
            <w:r w:rsidR="00E83BBD"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E83BBD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E83BBD" w:rsidRDefault="00E83BBD" w:rsidP="00E83BBD">
            <w:pPr>
              <w:spacing w:line="240" w:lineRule="auto"/>
              <w:ind w:left="142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Додаткові (необов’язкові) документи</w:t>
            </w:r>
          </w:p>
        </w:tc>
        <w:tc>
          <w:tcPr>
            <w:tcW w:w="3625" w:type="pct"/>
          </w:tcPr>
          <w:p w:rsidR="00E83BBD" w:rsidRDefault="00E83BBD" w:rsidP="00E83BBD">
            <w:pPr>
              <w:spacing w:line="240" w:lineRule="auto"/>
              <w:ind w:left="48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83BBD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3625" w:type="pct"/>
          </w:tcPr>
          <w:p w:rsidR="00E83BBD" w:rsidRPr="00027F17" w:rsidRDefault="00B048F1" w:rsidP="00E83BB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BE4706">
              <w:rPr>
                <w:sz w:val="24"/>
                <w:szCs w:val="24"/>
                <w:lang w:eastAsia="en-US"/>
              </w:rPr>
              <w:t>4</w:t>
            </w:r>
            <w:bookmarkStart w:id="8" w:name="_GoBack"/>
            <w:bookmarkEnd w:id="8"/>
            <w:r w:rsidR="00E83BBD">
              <w:rPr>
                <w:sz w:val="24"/>
                <w:szCs w:val="24"/>
                <w:lang w:eastAsia="en-US"/>
              </w:rPr>
              <w:t xml:space="preserve"> грудня </w:t>
            </w:r>
            <w:r w:rsidR="00E83BBD" w:rsidRPr="00027F17">
              <w:rPr>
                <w:sz w:val="24"/>
                <w:szCs w:val="24"/>
                <w:lang w:eastAsia="en-US"/>
              </w:rPr>
              <w:t>2021 року о 10</w:t>
            </w:r>
            <w:r w:rsidR="00E83BBD" w:rsidRPr="00027F17">
              <w:rPr>
                <w:sz w:val="24"/>
                <w:szCs w:val="24"/>
                <w:lang w:val="ru-RU" w:eastAsia="en-US"/>
              </w:rPr>
              <w:t>:</w:t>
            </w:r>
            <w:r w:rsidR="00E83BBD" w:rsidRPr="00027F17">
              <w:rPr>
                <w:sz w:val="24"/>
                <w:szCs w:val="24"/>
                <w:lang w:eastAsia="en-US"/>
              </w:rPr>
              <w:t>00</w:t>
            </w:r>
          </w:p>
          <w:p w:rsidR="00E83BBD" w:rsidRPr="002C1ECB" w:rsidRDefault="00E83BBD" w:rsidP="00E83BBD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  <w:p w:rsidR="00E83BBD" w:rsidRPr="004009F9" w:rsidRDefault="00E83BBD" w:rsidP="00E83BBD">
            <w:pPr>
              <w:spacing w:line="240" w:lineRule="auto"/>
              <w:ind w:right="119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Проведення тестування дистанційно, шляхом використання  кандидатом комп’ютерної техніки та підключення через особистий кабінет на Єдиному порталі вакансій державної служби</w:t>
            </w:r>
            <w:r w:rsidRPr="004009F9">
              <w:rPr>
                <w:b w:val="0"/>
                <w:sz w:val="24"/>
                <w:szCs w:val="24"/>
                <w:lang w:eastAsia="en-US"/>
              </w:rPr>
              <w:t>.</w:t>
            </w:r>
          </w:p>
          <w:p w:rsidR="00E83BBD" w:rsidRPr="004009F9" w:rsidRDefault="00E83BBD" w:rsidP="00E83BBD">
            <w:pPr>
              <w:spacing w:line="240" w:lineRule="auto"/>
              <w:ind w:left="127" w:right="119"/>
              <w:jc w:val="both"/>
              <w:rPr>
                <w:b w:val="0"/>
                <w:sz w:val="24"/>
                <w:szCs w:val="24"/>
              </w:rPr>
            </w:pPr>
          </w:p>
          <w:p w:rsidR="00E83BBD" w:rsidRPr="004009F9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  <w:lang w:eastAsia="en-US"/>
              </w:rPr>
              <w:t>Співбесіда - м. Київ, вул. Хрещатик, 32-а (за фізичної присутності кандидатів)</w:t>
            </w:r>
          </w:p>
          <w:p w:rsidR="00E83BBD" w:rsidRPr="002C1ECB" w:rsidRDefault="00E83BBD" w:rsidP="00E83BBD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 дату та час проведення співбесіди кандидатів буде повідомлено додатково.</w:t>
            </w:r>
          </w:p>
        </w:tc>
      </w:tr>
      <w:tr w:rsidR="00E83BBD" w:rsidRPr="00456407" w:rsidTr="00B44181">
        <w:trPr>
          <w:cantSplit/>
          <w:trHeight w:val="2307"/>
        </w:trPr>
        <w:tc>
          <w:tcPr>
            <w:tcW w:w="1375" w:type="pct"/>
            <w:gridSpan w:val="3"/>
          </w:tcPr>
          <w:p w:rsidR="00E83BBD" w:rsidRPr="00456407" w:rsidRDefault="00E83BBD" w:rsidP="00E83BBD">
            <w:pPr>
              <w:pStyle w:val="rvps14"/>
              <w:jc w:val="both"/>
              <w:rPr>
                <w:lang w:val="uk-UA"/>
              </w:rPr>
            </w:pPr>
            <w:r w:rsidRPr="00456407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625" w:type="pct"/>
          </w:tcPr>
          <w:p w:rsidR="00E83BBD" w:rsidRDefault="00E83BBD" w:rsidP="00E83BBD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Коваленко Яна Василівна</w:t>
            </w:r>
          </w:p>
          <w:p w:rsidR="00E83BBD" w:rsidRDefault="00E83BBD" w:rsidP="00E83BBD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202 79 89</w:t>
            </w:r>
          </w:p>
          <w:p w:rsidR="00E83BBD" w:rsidRDefault="00E83BBD" w:rsidP="00E83BBD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 w:rsidRPr="00A90AFE">
              <w:rPr>
                <w:lang w:val="uk-UA"/>
              </w:rPr>
              <w:t>yana.kovalenko@kyivland.gov.ua</w:t>
            </w:r>
          </w:p>
          <w:p w:rsidR="00E83BBD" w:rsidRDefault="00E83BBD" w:rsidP="00E83BBD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E83BBD" w:rsidRDefault="00E83BBD" w:rsidP="00E83BBD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E83BBD" w:rsidRDefault="00E83BBD" w:rsidP="00E83BBD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E83BBD" w:rsidRDefault="00E83BBD" w:rsidP="00E83BBD">
            <w:pPr>
              <w:pStyle w:val="rvps14"/>
              <w:spacing w:before="0" w:beforeAutospacing="0" w:after="0" w:afterAutospacing="0"/>
              <w:rPr>
                <w:u w:val="single"/>
                <w:lang w:val="uk-UA"/>
              </w:rPr>
            </w:pPr>
          </w:p>
        </w:tc>
      </w:tr>
      <w:tr w:rsidR="00E83BBD" w:rsidRPr="00456407" w:rsidTr="00D72381">
        <w:trPr>
          <w:cantSplit/>
        </w:trPr>
        <w:tc>
          <w:tcPr>
            <w:tcW w:w="5000" w:type="pct"/>
            <w:gridSpan w:val="4"/>
          </w:tcPr>
          <w:p w:rsidR="00E83BBD" w:rsidRPr="00C338BE" w:rsidRDefault="00E83BBD" w:rsidP="00E83BBD">
            <w:pPr>
              <w:pStyle w:val="rvps1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338BE">
              <w:rPr>
                <w:b/>
                <w:lang w:val="uk-UA"/>
              </w:rPr>
              <w:t>Кваліфікаційні вимоги</w:t>
            </w:r>
          </w:p>
        </w:tc>
      </w:tr>
      <w:tr w:rsidR="00E83BBD" w:rsidRPr="00456407" w:rsidTr="00B44181">
        <w:trPr>
          <w:cantSplit/>
        </w:trPr>
        <w:tc>
          <w:tcPr>
            <w:tcW w:w="1375" w:type="pct"/>
            <w:gridSpan w:val="3"/>
          </w:tcPr>
          <w:p w:rsidR="00E83BBD" w:rsidRPr="00C338BE" w:rsidRDefault="00E83BBD" w:rsidP="00E83BBD">
            <w:pPr>
              <w:spacing w:line="240" w:lineRule="auto"/>
              <w:rPr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Вимога</w:t>
            </w:r>
          </w:p>
        </w:tc>
        <w:tc>
          <w:tcPr>
            <w:tcW w:w="3625" w:type="pct"/>
          </w:tcPr>
          <w:p w:rsidR="00E83BBD" w:rsidRPr="00C338BE" w:rsidRDefault="00E83BBD" w:rsidP="00E83BBD">
            <w:pPr>
              <w:spacing w:line="240" w:lineRule="auto"/>
              <w:rPr>
                <w:rStyle w:val="rvts0"/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Компоненти вимоги</w:t>
            </w:r>
          </w:p>
        </w:tc>
      </w:tr>
      <w:tr w:rsidR="00E83BBD" w:rsidRPr="00456407" w:rsidTr="00B44181">
        <w:trPr>
          <w:cantSplit/>
          <w:trHeight w:val="339"/>
        </w:trPr>
        <w:tc>
          <w:tcPr>
            <w:tcW w:w="314" w:type="pct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Освіта</w:t>
            </w:r>
          </w:p>
        </w:tc>
        <w:tc>
          <w:tcPr>
            <w:tcW w:w="3625" w:type="pct"/>
          </w:tcPr>
          <w:p w:rsidR="00E83BBD" w:rsidRPr="007F6C5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 xml:space="preserve">освіта </w:t>
            </w:r>
            <w:r>
              <w:rPr>
                <w:b w:val="0"/>
                <w:sz w:val="24"/>
                <w:szCs w:val="24"/>
              </w:rPr>
              <w:t>повна</w:t>
            </w:r>
            <w:r w:rsidRPr="00C74FBF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вища не нижче бакалавра, або молодшого бакалавра</w:t>
            </w:r>
          </w:p>
        </w:tc>
      </w:tr>
      <w:tr w:rsidR="00E83BBD" w:rsidRPr="00456407" w:rsidTr="00B44181">
        <w:trPr>
          <w:cantSplit/>
        </w:trPr>
        <w:tc>
          <w:tcPr>
            <w:tcW w:w="314" w:type="pct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Досвід роботи</w:t>
            </w:r>
          </w:p>
        </w:tc>
        <w:tc>
          <w:tcPr>
            <w:tcW w:w="3625" w:type="pct"/>
          </w:tcPr>
          <w:p w:rsidR="00E83BBD" w:rsidRPr="004669EA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обов’язково</w:t>
            </w:r>
          </w:p>
        </w:tc>
      </w:tr>
      <w:tr w:rsidR="00E83BBD" w:rsidRPr="00456407" w:rsidTr="00B44181">
        <w:trPr>
          <w:cantSplit/>
        </w:trPr>
        <w:tc>
          <w:tcPr>
            <w:tcW w:w="314" w:type="pct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3.</w:t>
            </w:r>
          </w:p>
        </w:tc>
        <w:tc>
          <w:tcPr>
            <w:tcW w:w="1061" w:type="pct"/>
            <w:gridSpan w:val="2"/>
          </w:tcPr>
          <w:p w:rsidR="00E83BBD" w:rsidRPr="0045640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Володіння мовами</w:t>
            </w:r>
          </w:p>
        </w:tc>
        <w:tc>
          <w:tcPr>
            <w:tcW w:w="3625" w:type="pct"/>
          </w:tcPr>
          <w:p w:rsidR="00E83BBD" w:rsidRPr="00E46F8D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вільне володіння державною мовою</w:t>
            </w:r>
          </w:p>
        </w:tc>
      </w:tr>
      <w:tr w:rsidR="00E83BBD" w:rsidTr="00B4418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3BBD" w:rsidRPr="00C338BE" w:rsidRDefault="00E83BBD" w:rsidP="00E83BBD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Вимоги до компетентності</w:t>
            </w:r>
          </w:p>
        </w:tc>
      </w:tr>
      <w:tr w:rsidR="00E83BBD" w:rsidTr="00B44181"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3BBD" w:rsidRPr="00C338BE" w:rsidRDefault="00E83BBD" w:rsidP="00E83BBD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3BBD" w:rsidRPr="00C338BE" w:rsidRDefault="00E83BBD" w:rsidP="00E83BBD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Компоненти вимоги</w:t>
            </w:r>
          </w:p>
        </w:tc>
      </w:tr>
      <w:tr w:rsidR="00E83BBD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Досягнення результатів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чіткого бачення результату діяльності;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фокусувати зусилля для досягнення результату діяльності;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запобігати та ефективно долати перешкоди.</w:t>
            </w:r>
          </w:p>
        </w:tc>
      </w:tr>
      <w:tr w:rsidR="00E83BBD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Аналітичні здібності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вміння встановлювати причинно-наслідкові зв’язки;       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аналізувати інформацію та робити висновки, критично оцінювати ситуації, прогнозувати та робити власні умовиводи.</w:t>
            </w:r>
          </w:p>
        </w:tc>
      </w:tr>
      <w:tr w:rsidR="00E83BBD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Ефективність координації з іншими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здатність налагоджувати зв’язки з  іншими структурними підрозділами державного органу, представниками інших державних органів, у тому числі з використанням цифрових технологій;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 вміння конструктивного обміну інформацією, узгодження та упорядкування дій;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об’єднання та систематизації спільних зусиль.</w:t>
            </w:r>
          </w:p>
        </w:tc>
      </w:tr>
      <w:tr w:rsidR="00E83BBD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Відповідальність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усвідомлення рівня відповідальності під час підготовки та прийняття рішень, готовність нести відповідальність за можливі наслідки реалізації таких рішень;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брати на себе зобов’язання, чітко їх дотримуватись і виконувати.</w:t>
            </w:r>
          </w:p>
        </w:tc>
      </w:tr>
      <w:tr w:rsidR="00E83BBD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3BBD" w:rsidRPr="00D72381" w:rsidRDefault="00E83BBD" w:rsidP="00E83BBD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3BBD" w:rsidRPr="00D72381" w:rsidRDefault="00E83BBD" w:rsidP="00E83BBD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Цифрова грамотність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вміння використовувати сервіси інтернету для ефективного пошуку </w:t>
            </w: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lastRenderedPageBreak/>
              <w:t>потрібної інформації; вміння перевіряти надійність джерел і достовірність даних та інформації в цифровому середовищі;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працювати з документами в різних цифрових форматах;       зберігати, накопичувати, впорядковувати, архівувати цифрові ресурси та дані різних типів;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обов’язків; вміння користуватись кваліфікованим електронним підписом (КЕП);</w:t>
            </w:r>
          </w:p>
          <w:p w:rsidR="00E83BBD" w:rsidRPr="00D72381" w:rsidRDefault="00E83BBD" w:rsidP="00E83BBD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здатність використовувати відкриті цифрові ресурси для власного професійного розвитку. </w:t>
            </w:r>
          </w:p>
        </w:tc>
      </w:tr>
      <w:tr w:rsidR="00E83BBD" w:rsidRPr="00456407" w:rsidTr="00D723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5000" w:type="pct"/>
            <w:gridSpan w:val="4"/>
          </w:tcPr>
          <w:p w:rsidR="00E83BBD" w:rsidRPr="00E46F8D" w:rsidRDefault="00E83BBD" w:rsidP="00E83BBD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E83BBD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1375" w:type="pct"/>
            <w:gridSpan w:val="3"/>
            <w:vAlign w:val="center"/>
          </w:tcPr>
          <w:p w:rsidR="00E83BBD" w:rsidRPr="00456407" w:rsidRDefault="00E83BBD" w:rsidP="00E83BBD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Вимога</w:t>
            </w:r>
          </w:p>
        </w:tc>
        <w:tc>
          <w:tcPr>
            <w:tcW w:w="3625" w:type="pct"/>
            <w:vAlign w:val="center"/>
          </w:tcPr>
          <w:p w:rsidR="00E83BBD" w:rsidRPr="00E46F8D" w:rsidRDefault="00E83BBD" w:rsidP="00E83BBD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Компоненти вимоги</w:t>
            </w:r>
          </w:p>
        </w:tc>
      </w:tr>
      <w:tr w:rsidR="00E83BBD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314" w:type="pct"/>
          </w:tcPr>
          <w:p w:rsidR="00E83BBD" w:rsidRPr="00456407" w:rsidRDefault="00E83BBD" w:rsidP="00E83BBD">
            <w:pPr>
              <w:spacing w:line="240" w:lineRule="auto"/>
              <w:rPr>
                <w:b w:val="0"/>
                <w:sz w:val="24"/>
                <w:szCs w:val="24"/>
              </w:rPr>
            </w:pPr>
          </w:p>
          <w:p w:rsidR="00E83BBD" w:rsidRPr="00456407" w:rsidRDefault="00E83BBD" w:rsidP="00E83BBD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E83BBD" w:rsidRPr="00456407" w:rsidRDefault="00E83BBD" w:rsidP="00E83BBD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Знання законодавства</w:t>
            </w:r>
          </w:p>
        </w:tc>
        <w:tc>
          <w:tcPr>
            <w:tcW w:w="3625" w:type="pct"/>
          </w:tcPr>
          <w:p w:rsidR="00E83BBD" w:rsidRPr="007F6C5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Знання:</w:t>
            </w:r>
          </w:p>
          <w:p w:rsidR="00E83BBD" w:rsidRPr="007F6C5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Конституції України</w:t>
            </w:r>
          </w:p>
          <w:p w:rsidR="00E83BBD" w:rsidRPr="007F6C57" w:rsidRDefault="00E83BBD" w:rsidP="00E83BBD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державну службу»</w:t>
            </w:r>
          </w:p>
          <w:p w:rsidR="00E83BBD" w:rsidRPr="0002354F" w:rsidRDefault="00E83BBD" w:rsidP="00E83BBD">
            <w:pPr>
              <w:spacing w:line="240" w:lineRule="auto"/>
              <w:jc w:val="both"/>
              <w:rPr>
                <w:b w:val="0"/>
                <w:color w:val="FF000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запобігання корупції»</w:t>
            </w:r>
          </w:p>
        </w:tc>
      </w:tr>
      <w:tr w:rsidR="00E83BBD" w:rsidRPr="00A70248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trHeight w:val="699"/>
        </w:trPr>
        <w:tc>
          <w:tcPr>
            <w:tcW w:w="314" w:type="pct"/>
          </w:tcPr>
          <w:p w:rsidR="00E83BBD" w:rsidRPr="00A70248" w:rsidRDefault="00E83BBD" w:rsidP="00E83BBD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A7024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E83BBD" w:rsidRDefault="00E83BBD" w:rsidP="00E83BBD">
            <w:pPr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Знання законодавства </w:t>
            </w:r>
          </w:p>
          <w:p w:rsidR="00E83BBD" w:rsidRPr="00C338BE" w:rsidRDefault="00E83BBD" w:rsidP="00E83BBD">
            <w:pPr>
              <w:spacing w:line="240" w:lineRule="auto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у сфері</w:t>
            </w:r>
          </w:p>
        </w:tc>
        <w:tc>
          <w:tcPr>
            <w:tcW w:w="3625" w:type="pct"/>
          </w:tcPr>
          <w:p w:rsidR="00A13E66" w:rsidRPr="00393B03" w:rsidRDefault="00A13E66" w:rsidP="00A13E6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93B03">
              <w:rPr>
                <w:b w:val="0"/>
                <w:sz w:val="24"/>
                <w:szCs w:val="24"/>
              </w:rPr>
              <w:t>Земельного кодексу України;</w:t>
            </w:r>
          </w:p>
          <w:p w:rsidR="00A13E66" w:rsidRPr="00393B03" w:rsidRDefault="00A13E66" w:rsidP="00A13E66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93B03">
              <w:rPr>
                <w:b w:val="0"/>
                <w:sz w:val="24"/>
                <w:szCs w:val="24"/>
              </w:rPr>
              <w:t>законів України:</w:t>
            </w:r>
          </w:p>
          <w:p w:rsidR="00E83BBD" w:rsidRPr="00A13E66" w:rsidRDefault="00A13E66" w:rsidP="00A13E66">
            <w:pPr>
              <w:pStyle w:val="a5"/>
              <w:shd w:val="clear" w:color="auto" w:fill="FFFFFF"/>
              <w:spacing w:before="0" w:beforeAutospacing="0" w:after="0" w:afterAutospacing="0"/>
              <w:ind w:left="11" w:right="132"/>
              <w:contextualSpacing/>
              <w:jc w:val="both"/>
              <w:rPr>
                <w:lang w:val="uk-UA"/>
              </w:rPr>
            </w:pPr>
            <w:r w:rsidRPr="00393B03">
              <w:rPr>
                <w:lang w:val="uk-UA"/>
              </w:rPr>
              <w:t>«Про землеустрій», «Про Державний земельний кадастр», «Про оренду землі», «Про регулюв</w:t>
            </w:r>
            <w:r>
              <w:rPr>
                <w:lang w:val="uk-UA"/>
              </w:rPr>
              <w:t xml:space="preserve">ання містобудівної діяльності», </w:t>
            </w:r>
            <w:r w:rsidRPr="00393B03">
              <w:rPr>
                <w:lang w:val="uk-UA"/>
              </w:rPr>
              <w:t xml:space="preserve">«Про звернення громадян», </w:t>
            </w:r>
            <w:r w:rsidRPr="00893B2F">
              <w:rPr>
                <w:lang w:val="uk-UA"/>
              </w:rPr>
              <w:t>«Про захист персональних даних»,</w:t>
            </w:r>
            <w:r w:rsidRPr="00393B03">
              <w:rPr>
                <w:lang w:val="uk-UA"/>
              </w:rPr>
              <w:t xml:space="preserve"> «Про доступ до публічної інформації», «Про інформацію», «Про державну службу», «Про запобігання корупції», «Про місцеве самоврядування в Україні», «Про місцеві державні адміністрації», «Про столицю України – місто-герой Київ»</w:t>
            </w:r>
            <w:r>
              <w:rPr>
                <w:lang w:val="uk-UA"/>
              </w:rPr>
              <w:t>, інші нормативно-законодавчі акти щодо врегулювання питань продажу земельних ділянок міста Києва</w:t>
            </w:r>
          </w:p>
        </w:tc>
      </w:tr>
    </w:tbl>
    <w:p w:rsidR="00183EB2" w:rsidRDefault="00183EB2" w:rsidP="00183EB2">
      <w:pPr>
        <w:tabs>
          <w:tab w:val="left" w:pos="5580"/>
        </w:tabs>
        <w:spacing w:line="240" w:lineRule="auto"/>
        <w:jc w:val="both"/>
        <w:rPr>
          <w:b w:val="0"/>
          <w:sz w:val="24"/>
          <w:szCs w:val="24"/>
        </w:rPr>
      </w:pPr>
    </w:p>
    <w:p w:rsidR="007577B6" w:rsidRDefault="007577B6" w:rsidP="007577B6">
      <w:pPr>
        <w:spacing w:line="240" w:lineRule="auto"/>
        <w:jc w:val="both"/>
        <w:rPr>
          <w:b w:val="0"/>
          <w:szCs w:val="28"/>
        </w:rPr>
      </w:pPr>
    </w:p>
    <w:sectPr w:rsidR="007577B6" w:rsidSect="00C34031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133C8"/>
    <w:multiLevelType w:val="hybridMultilevel"/>
    <w:tmpl w:val="55483258"/>
    <w:lvl w:ilvl="0" w:tplc="5832FD1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971358"/>
    <w:multiLevelType w:val="hybridMultilevel"/>
    <w:tmpl w:val="E90E58E2"/>
    <w:lvl w:ilvl="0" w:tplc="679AE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640D9"/>
    <w:multiLevelType w:val="hybridMultilevel"/>
    <w:tmpl w:val="B17EE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8AEC5B8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5353C"/>
    <w:multiLevelType w:val="hybridMultilevel"/>
    <w:tmpl w:val="22AA163A"/>
    <w:lvl w:ilvl="0" w:tplc="C3B47C40">
      <w:start w:val="1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353901DD"/>
    <w:multiLevelType w:val="hybridMultilevel"/>
    <w:tmpl w:val="3A96F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ACF"/>
    <w:multiLevelType w:val="hybridMultilevel"/>
    <w:tmpl w:val="A252B86C"/>
    <w:lvl w:ilvl="0" w:tplc="36D28B8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44B0EA">
      <w:start w:val="17"/>
      <w:numFmt w:val="bullet"/>
      <w:lvlText w:val="–"/>
      <w:lvlJc w:val="left"/>
      <w:pPr>
        <w:ind w:left="2775" w:hanging="975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79C1"/>
    <w:multiLevelType w:val="hybridMultilevel"/>
    <w:tmpl w:val="1D024344"/>
    <w:lvl w:ilvl="0" w:tplc="110C50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4475F"/>
    <w:multiLevelType w:val="hybridMultilevel"/>
    <w:tmpl w:val="8BD28436"/>
    <w:lvl w:ilvl="0" w:tplc="B088E520"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9116C"/>
    <w:multiLevelType w:val="hybridMultilevel"/>
    <w:tmpl w:val="1A2C5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D8136E"/>
    <w:multiLevelType w:val="hybridMultilevel"/>
    <w:tmpl w:val="50D68F6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84F81"/>
    <w:multiLevelType w:val="hybridMultilevel"/>
    <w:tmpl w:val="9128552C"/>
    <w:lvl w:ilvl="0" w:tplc="50961BB6">
      <w:start w:val="1"/>
      <w:numFmt w:val="decimal"/>
      <w:lvlText w:val="%1)"/>
      <w:lvlJc w:val="left"/>
      <w:pPr>
        <w:ind w:left="645" w:hanging="64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D672C7"/>
    <w:multiLevelType w:val="hybridMultilevel"/>
    <w:tmpl w:val="2F9A79EE"/>
    <w:lvl w:ilvl="0" w:tplc="37CAA1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F141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11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40"/>
    <w:rsid w:val="00027F17"/>
    <w:rsid w:val="0008748A"/>
    <w:rsid w:val="000B4567"/>
    <w:rsid w:val="000F5A3A"/>
    <w:rsid w:val="001264C0"/>
    <w:rsid w:val="00183EB2"/>
    <w:rsid w:val="002109EE"/>
    <w:rsid w:val="0023416C"/>
    <w:rsid w:val="002C1ECB"/>
    <w:rsid w:val="00390EF9"/>
    <w:rsid w:val="00405063"/>
    <w:rsid w:val="004669EA"/>
    <w:rsid w:val="00473A40"/>
    <w:rsid w:val="004804BC"/>
    <w:rsid w:val="004B0C8A"/>
    <w:rsid w:val="005368F6"/>
    <w:rsid w:val="00536A72"/>
    <w:rsid w:val="00537674"/>
    <w:rsid w:val="00573CA3"/>
    <w:rsid w:val="0066354B"/>
    <w:rsid w:val="00663820"/>
    <w:rsid w:val="0068614F"/>
    <w:rsid w:val="006A6D4E"/>
    <w:rsid w:val="006C3E56"/>
    <w:rsid w:val="007577B6"/>
    <w:rsid w:val="00786891"/>
    <w:rsid w:val="007A65AB"/>
    <w:rsid w:val="007D3181"/>
    <w:rsid w:val="007F36F9"/>
    <w:rsid w:val="00826C5E"/>
    <w:rsid w:val="00891CE5"/>
    <w:rsid w:val="008C78FD"/>
    <w:rsid w:val="00970B67"/>
    <w:rsid w:val="00994EEB"/>
    <w:rsid w:val="009B55A5"/>
    <w:rsid w:val="009E06F5"/>
    <w:rsid w:val="00A13E66"/>
    <w:rsid w:val="00AF4AE8"/>
    <w:rsid w:val="00B048F1"/>
    <w:rsid w:val="00B44181"/>
    <w:rsid w:val="00BC55A3"/>
    <w:rsid w:val="00BE4706"/>
    <w:rsid w:val="00C338BE"/>
    <w:rsid w:val="00C34031"/>
    <w:rsid w:val="00C4365C"/>
    <w:rsid w:val="00C74FBF"/>
    <w:rsid w:val="00D72381"/>
    <w:rsid w:val="00D9671A"/>
    <w:rsid w:val="00DC18DF"/>
    <w:rsid w:val="00DD18EB"/>
    <w:rsid w:val="00E320FC"/>
    <w:rsid w:val="00E747C8"/>
    <w:rsid w:val="00E83BBD"/>
    <w:rsid w:val="00EC25DE"/>
    <w:rsid w:val="00F2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A3097"/>
  <w15:docId w15:val="{7B6F303D-1667-471A-80C8-15D1433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202"/>
    <w:pPr>
      <w:widowControl w:val="0"/>
      <w:snapToGrid w:val="0"/>
      <w:spacing w:after="0" w:line="42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27202"/>
    <w:pPr>
      <w:widowControl/>
      <w:snapToGrid/>
      <w:spacing w:line="240" w:lineRule="auto"/>
      <w:ind w:firstLine="709"/>
      <w:jc w:val="both"/>
    </w:pPr>
    <w:rPr>
      <w:b w:val="0"/>
      <w:sz w:val="26"/>
    </w:rPr>
  </w:style>
  <w:style w:type="character" w:customStyle="1" w:styleId="a4">
    <w:name w:val="Основний текст з відступом Знак"/>
    <w:basedOn w:val="a0"/>
    <w:link w:val="a3"/>
    <w:rsid w:val="00F27202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TableContents">
    <w:name w:val="Table Contents"/>
    <w:basedOn w:val="a"/>
    <w:uiPriority w:val="99"/>
    <w:rsid w:val="00F27202"/>
    <w:pPr>
      <w:suppressLineNumbers/>
      <w:suppressAutoHyphens/>
      <w:snapToGrid/>
      <w:spacing w:line="240" w:lineRule="auto"/>
      <w:jc w:val="left"/>
    </w:pPr>
    <w:rPr>
      <w:rFonts w:eastAsia="Arial Unicode MS" w:cs="Arial Unicode MS"/>
      <w:b w:val="0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paragraph" w:customStyle="1" w:styleId="rvps14">
    <w:name w:val="rvps14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6">
    <w:name w:val="Hyperlink"/>
    <w:rsid w:val="00F27202"/>
    <w:rPr>
      <w:color w:val="0000FF"/>
      <w:u w:val="single"/>
    </w:rPr>
  </w:style>
  <w:style w:type="paragraph" w:customStyle="1" w:styleId="rvps2">
    <w:name w:val="rvps2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7">
    <w:name w:val="Strong"/>
    <w:uiPriority w:val="99"/>
    <w:qFormat/>
    <w:rsid w:val="00F27202"/>
    <w:rPr>
      <w:b/>
      <w:bCs/>
    </w:rPr>
  </w:style>
  <w:style w:type="character" w:customStyle="1" w:styleId="rvts0">
    <w:name w:val="rvts0"/>
    <w:uiPriority w:val="99"/>
    <w:rsid w:val="00F27202"/>
  </w:style>
  <w:style w:type="paragraph" w:styleId="a8">
    <w:name w:val="List Paragraph"/>
    <w:basedOn w:val="a"/>
    <w:uiPriority w:val="34"/>
    <w:qFormat/>
    <w:rsid w:val="00F27202"/>
    <w:pPr>
      <w:ind w:left="720"/>
      <w:contextualSpacing/>
    </w:pPr>
  </w:style>
  <w:style w:type="paragraph" w:customStyle="1" w:styleId="a9">
    <w:name w:val="Без интервала"/>
    <w:uiPriority w:val="1"/>
    <w:qFormat/>
    <w:rsid w:val="008C78FD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Emphasis"/>
    <w:basedOn w:val="a0"/>
    <w:qFormat/>
    <w:rsid w:val="008C78FD"/>
    <w:rPr>
      <w:i/>
      <w:iCs/>
    </w:rPr>
  </w:style>
  <w:style w:type="paragraph" w:customStyle="1" w:styleId="1">
    <w:name w:val="Абзац списку1"/>
    <w:basedOn w:val="a"/>
    <w:uiPriority w:val="99"/>
    <w:rsid w:val="002C1ECB"/>
    <w:pPr>
      <w:widowControl/>
      <w:snapToGrid/>
      <w:spacing w:line="240" w:lineRule="auto"/>
      <w:ind w:left="720"/>
      <w:contextualSpacing/>
      <w:jc w:val="left"/>
    </w:pPr>
    <w:rPr>
      <w:b w:val="0"/>
      <w:sz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9E0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E06F5"/>
    <w:rPr>
      <w:rFonts w:ascii="Segoe UI" w:eastAsia="Times New Roman" w:hAnsi="Segoe UI" w:cs="Segoe UI"/>
      <w:b/>
      <w:sz w:val="18"/>
      <w:szCs w:val="18"/>
      <w:lang w:val="uk-UA" w:eastAsia="ru-RU"/>
    </w:rPr>
  </w:style>
  <w:style w:type="paragraph" w:customStyle="1" w:styleId="ad">
    <w:name w:val="Знак Знак Знак Знак Знак Знак"/>
    <w:basedOn w:val="a"/>
    <w:rsid w:val="0023416C"/>
    <w:pPr>
      <w:widowControl/>
      <w:snapToGrid/>
      <w:spacing w:line="240" w:lineRule="auto"/>
      <w:jc w:val="left"/>
    </w:pPr>
    <w:rPr>
      <w:rFonts w:ascii="Verdana" w:hAnsi="Verdana" w:cs="Verdana"/>
      <w:b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reer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DepZR</Company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Пастернак Оксана Йосипівна</cp:lastModifiedBy>
  <cp:revision>33</cp:revision>
  <cp:lastPrinted>2021-11-29T09:29:00Z</cp:lastPrinted>
  <dcterms:created xsi:type="dcterms:W3CDTF">2021-04-09T06:17:00Z</dcterms:created>
  <dcterms:modified xsi:type="dcterms:W3CDTF">2021-12-03T11:02:00Z</dcterms:modified>
</cp:coreProperties>
</file>