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E078CD">
        <w:rPr>
          <w:sz w:val="24"/>
          <w:szCs w:val="24"/>
        </w:rPr>
        <w:t>15</w:t>
      </w:r>
      <w:r w:rsidR="00B115FE" w:rsidRPr="00DD17D0">
        <w:rPr>
          <w:sz w:val="24"/>
          <w:szCs w:val="24"/>
        </w:rPr>
        <w:t xml:space="preserve">» </w:t>
      </w:r>
      <w:r w:rsidR="007979AF" w:rsidRPr="00DD17D0">
        <w:rPr>
          <w:sz w:val="24"/>
          <w:szCs w:val="24"/>
        </w:rPr>
        <w:t xml:space="preserve"> </w:t>
      </w:r>
      <w:r w:rsidR="0060182A">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E078CD">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754717" w:rsidRPr="00D56B18" w:rsidRDefault="00E078CD" w:rsidP="00131B14">
      <w:pPr>
        <w:jc w:val="center"/>
        <w:rPr>
          <w:b/>
          <w:sz w:val="26"/>
          <w:szCs w:val="26"/>
        </w:rPr>
      </w:pPr>
      <w:r>
        <w:rPr>
          <w:b/>
          <w:sz w:val="26"/>
          <w:szCs w:val="26"/>
        </w:rPr>
        <w:t>Код публікації: ДЗР39</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5938D4">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землеустрою Шевченківського, Святошинського, Оболонського, Подільського районів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011FC" w:rsidRPr="007011FC" w:rsidRDefault="007011FC" w:rsidP="007011FC">
            <w:pPr>
              <w:spacing w:line="240" w:lineRule="auto"/>
              <w:ind w:firstLine="0"/>
              <w:rPr>
                <w:sz w:val="24"/>
                <w:szCs w:val="24"/>
              </w:rPr>
            </w:pPr>
            <w:r>
              <w:rPr>
                <w:sz w:val="24"/>
                <w:szCs w:val="24"/>
              </w:rPr>
              <w:t xml:space="preserve">1. </w:t>
            </w:r>
            <w:r w:rsidRPr="007011FC">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2. </w:t>
            </w:r>
            <w:r w:rsidRPr="007011FC">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3.</w:t>
            </w:r>
            <w:r w:rsidRPr="007011FC">
              <w:rPr>
                <w:sz w:val="24"/>
                <w:szCs w:val="24"/>
              </w:rPr>
              <w:t xml:space="preserve">Розгляд клопотань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011FC">
              <w:rPr>
                <w:sz w:val="24"/>
                <w:szCs w:val="24"/>
              </w:rPr>
              <w:t>Розгляд клопотань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7011FC" w:rsidRPr="007011FC" w:rsidRDefault="007011FC" w:rsidP="007011FC">
            <w:pPr>
              <w:spacing w:line="240" w:lineRule="auto"/>
              <w:ind w:firstLine="0"/>
              <w:rPr>
                <w:sz w:val="24"/>
                <w:szCs w:val="24"/>
              </w:rPr>
            </w:pPr>
            <w:r>
              <w:rPr>
                <w:sz w:val="24"/>
                <w:szCs w:val="24"/>
              </w:rPr>
              <w:t xml:space="preserve">5. </w:t>
            </w:r>
            <w:r w:rsidRPr="007011FC">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7011FC">
              <w:rPr>
                <w:sz w:val="24"/>
                <w:szCs w:val="24"/>
              </w:rPr>
              <w:lastRenderedPageBreak/>
              <w:t>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6. </w:t>
            </w:r>
            <w:r w:rsidRPr="007011FC">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7011FC">
              <w:rPr>
                <w:sz w:val="24"/>
                <w:szCs w:val="24"/>
              </w:rPr>
              <w:t>суперфіцій</w:t>
            </w:r>
            <w:proofErr w:type="spellEnd"/>
            <w:r w:rsidRPr="007011FC">
              <w:rPr>
                <w:sz w:val="24"/>
                <w:szCs w:val="24"/>
              </w:rPr>
              <w:t>).</w:t>
            </w:r>
          </w:p>
          <w:p w:rsidR="007011FC" w:rsidRPr="007011FC" w:rsidRDefault="007011FC" w:rsidP="007011FC">
            <w:pPr>
              <w:spacing w:line="240" w:lineRule="auto"/>
              <w:ind w:firstLine="0"/>
              <w:rPr>
                <w:sz w:val="24"/>
                <w:szCs w:val="24"/>
              </w:rPr>
            </w:pPr>
            <w:r>
              <w:rPr>
                <w:sz w:val="24"/>
                <w:szCs w:val="24"/>
              </w:rPr>
              <w:t xml:space="preserve">7. </w:t>
            </w:r>
            <w:r w:rsidRPr="007011FC">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011FC" w:rsidRPr="007011FC" w:rsidRDefault="007011FC" w:rsidP="007011FC">
            <w:pPr>
              <w:spacing w:line="240" w:lineRule="auto"/>
              <w:ind w:firstLine="0"/>
              <w:rPr>
                <w:sz w:val="24"/>
                <w:szCs w:val="24"/>
              </w:rPr>
            </w:pPr>
            <w:r>
              <w:rPr>
                <w:sz w:val="24"/>
                <w:szCs w:val="24"/>
              </w:rPr>
              <w:t xml:space="preserve">8. </w:t>
            </w:r>
            <w:r w:rsidRPr="007011FC">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011FC" w:rsidRPr="007011FC" w:rsidRDefault="007011FC" w:rsidP="007011FC">
            <w:pPr>
              <w:spacing w:line="240" w:lineRule="auto"/>
              <w:ind w:firstLine="0"/>
              <w:rPr>
                <w:sz w:val="24"/>
                <w:szCs w:val="24"/>
              </w:rPr>
            </w:pPr>
            <w:r>
              <w:rPr>
                <w:sz w:val="24"/>
                <w:szCs w:val="24"/>
              </w:rPr>
              <w:t xml:space="preserve">9. </w:t>
            </w:r>
            <w:r w:rsidRPr="007011FC">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011FC" w:rsidRPr="007011FC" w:rsidRDefault="007011FC" w:rsidP="007011FC">
            <w:pPr>
              <w:spacing w:line="240" w:lineRule="auto"/>
              <w:ind w:firstLine="0"/>
              <w:rPr>
                <w:sz w:val="24"/>
                <w:szCs w:val="24"/>
              </w:rPr>
            </w:pPr>
            <w:r>
              <w:rPr>
                <w:sz w:val="24"/>
                <w:szCs w:val="24"/>
              </w:rPr>
              <w:t xml:space="preserve">10. </w:t>
            </w:r>
            <w:r w:rsidRPr="007011FC">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011FC" w:rsidP="007011FC">
            <w:pPr>
              <w:spacing w:line="240" w:lineRule="auto"/>
              <w:ind w:firstLine="0"/>
              <w:rPr>
                <w:sz w:val="24"/>
                <w:szCs w:val="24"/>
              </w:rPr>
            </w:pPr>
            <w:r w:rsidRPr="007011FC">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lastRenderedPageBreak/>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078CD">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1D" w:rsidRDefault="00C7211D">
      <w:r>
        <w:separator/>
      </w:r>
    </w:p>
  </w:endnote>
  <w:endnote w:type="continuationSeparator" w:id="0">
    <w:p w:rsidR="00C7211D" w:rsidRDefault="00C7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1D" w:rsidRDefault="00C7211D">
      <w:r>
        <w:separator/>
      </w:r>
    </w:p>
  </w:footnote>
  <w:footnote w:type="continuationSeparator" w:id="0">
    <w:p w:rsidR="00C7211D" w:rsidRDefault="00C72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078CD">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C540E"/>
    <w:rsid w:val="001E3E40"/>
    <w:rsid w:val="00210F96"/>
    <w:rsid w:val="00277941"/>
    <w:rsid w:val="002C5CD0"/>
    <w:rsid w:val="002F1096"/>
    <w:rsid w:val="002F41CD"/>
    <w:rsid w:val="00311CD9"/>
    <w:rsid w:val="003212E6"/>
    <w:rsid w:val="00327C93"/>
    <w:rsid w:val="003505A6"/>
    <w:rsid w:val="00382CF8"/>
    <w:rsid w:val="0039271D"/>
    <w:rsid w:val="003B1DB4"/>
    <w:rsid w:val="00415AA8"/>
    <w:rsid w:val="00415BAC"/>
    <w:rsid w:val="00421DAD"/>
    <w:rsid w:val="0043570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0182A"/>
    <w:rsid w:val="0063717B"/>
    <w:rsid w:val="00641766"/>
    <w:rsid w:val="006647B6"/>
    <w:rsid w:val="006936F3"/>
    <w:rsid w:val="006A0836"/>
    <w:rsid w:val="006B725C"/>
    <w:rsid w:val="006C5419"/>
    <w:rsid w:val="007011FC"/>
    <w:rsid w:val="007050BC"/>
    <w:rsid w:val="00717C72"/>
    <w:rsid w:val="00727D4A"/>
    <w:rsid w:val="00735A86"/>
    <w:rsid w:val="00754717"/>
    <w:rsid w:val="007562E6"/>
    <w:rsid w:val="00762A28"/>
    <w:rsid w:val="00776ECA"/>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F70AA"/>
    <w:rsid w:val="00A169E7"/>
    <w:rsid w:val="00A174F4"/>
    <w:rsid w:val="00A3538B"/>
    <w:rsid w:val="00A3571A"/>
    <w:rsid w:val="00A4093C"/>
    <w:rsid w:val="00A90AFE"/>
    <w:rsid w:val="00AA0464"/>
    <w:rsid w:val="00AB2009"/>
    <w:rsid w:val="00AB2636"/>
    <w:rsid w:val="00AE3F76"/>
    <w:rsid w:val="00AE6A40"/>
    <w:rsid w:val="00B0208E"/>
    <w:rsid w:val="00B110A4"/>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211D"/>
    <w:rsid w:val="00C7599B"/>
    <w:rsid w:val="00CB708A"/>
    <w:rsid w:val="00CC474B"/>
    <w:rsid w:val="00D01B8C"/>
    <w:rsid w:val="00D17045"/>
    <w:rsid w:val="00D24551"/>
    <w:rsid w:val="00D418F3"/>
    <w:rsid w:val="00D4377F"/>
    <w:rsid w:val="00D56B18"/>
    <w:rsid w:val="00D90144"/>
    <w:rsid w:val="00DB261D"/>
    <w:rsid w:val="00DB7ACD"/>
    <w:rsid w:val="00DC64C3"/>
    <w:rsid w:val="00DD17D0"/>
    <w:rsid w:val="00DD3DF6"/>
    <w:rsid w:val="00DE60D5"/>
    <w:rsid w:val="00E078CD"/>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7F21E"/>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1051</Words>
  <Characters>7689</Characters>
  <Application>Microsoft Office Word</Application>
  <DocSecurity>0</DocSecurity>
  <Lines>64</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33</cp:revision>
  <cp:lastPrinted>2020-10-15T14:42:00Z</cp:lastPrinted>
  <dcterms:created xsi:type="dcterms:W3CDTF">2020-05-15T07:31:00Z</dcterms:created>
  <dcterms:modified xsi:type="dcterms:W3CDTF">2020-10-15T14:43:00Z</dcterms:modified>
</cp:coreProperties>
</file>