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C" w:rsidRDefault="005C188C" w:rsidP="005C188C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C188C" w:rsidRPr="00431EF1" w:rsidRDefault="005C188C" w:rsidP="005C188C">
      <w:pPr>
        <w:tabs>
          <w:tab w:val="left" w:pos="3519"/>
          <w:tab w:val="center" w:pos="481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88C" w:rsidRPr="00431EF1" w:rsidRDefault="005C188C" w:rsidP="005C1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головного 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відділу пасажирських перевезень управління з питань організації дорожнього руху, паркування та пасажирських перевезень</w:t>
      </w:r>
    </w:p>
    <w:p w:rsidR="005C188C" w:rsidRPr="00431EF1" w:rsidRDefault="005C188C" w:rsidP="005C1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188C" w:rsidRPr="00431EF1" w:rsidRDefault="005C188C" w:rsidP="005C1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88C" w:rsidRPr="00431EF1" w:rsidRDefault="005C188C" w:rsidP="005C1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C188C" w:rsidRPr="00431EF1" w:rsidRDefault="005C188C" w:rsidP="005C1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88C" w:rsidRPr="00431EF1" w:rsidTr="009958D7">
        <w:tc>
          <w:tcPr>
            <w:tcW w:w="9570" w:type="dxa"/>
            <w:gridSpan w:val="4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88C" w:rsidRPr="00A13526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</w:t>
            </w:r>
            <w:r w:rsidRPr="004E3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відділу пасажирських перевезень управління з питань організації дорожнього руху, паркування та пасажирських перевезень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x-none"/>
              </w:rPr>
              <w:t>1.З</w:t>
            </w:r>
            <w:r w:rsidRPr="00E50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x-none"/>
              </w:rPr>
              <w:t>дійснює роботу із вдосконалення та розвитку координації роботи міського пасажирського транспорту відповідними комунальними підприємствами дорожньо-транспортного комплексу м. Києва, діяльність яких належить до повноважень Департаменту.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x-none"/>
              </w:rPr>
            </w:pPr>
            <w:r w:rsidRPr="00E50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x-none"/>
              </w:rPr>
              <w:t>2.Збирає та готує інформацію щодо стану підприємств пасажирського транспорту у сфері координації роботи міського пасажирського транспорту, бере участь у визначенні й розробці концепції та перспектив розвитку цього напрямку.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 3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. Бере участь програм, які спрямовані на розвиток та поліпшення роботи міського пасажирського транспорту м. Києва.</w:t>
            </w:r>
          </w:p>
          <w:p w:rsidR="005C188C" w:rsidRPr="00E50585" w:rsidRDefault="005C188C" w:rsidP="009958D7">
            <w:pPr>
              <w:tabs>
                <w:tab w:val="num" w:pos="17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4.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Здійснює роботу з питань координації роботи міського пасажирського транспорту загального користування.</w:t>
            </w:r>
          </w:p>
          <w:p w:rsidR="005C188C" w:rsidRPr="00E50585" w:rsidRDefault="005C188C" w:rsidP="009958D7">
            <w:pPr>
              <w:tabs>
                <w:tab w:val="num" w:pos="17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 5.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Опрацьовує листи, звернення та заяви, що надійшли до управління, готує в межах компетенції та наданих повноважень, визначених нормативними документами, що регулюють взаємовідносини управління та 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>підприємств транспортного комплексу та посадовою інструкцією, відповіді.</w:t>
            </w:r>
          </w:p>
          <w:p w:rsidR="005C188C" w:rsidRPr="00E50585" w:rsidRDefault="005C188C" w:rsidP="009958D7">
            <w:pPr>
              <w:tabs>
                <w:tab w:val="num" w:pos="17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 6.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Готує та оформлює матеріали для розгляду на нарадах у директора Департаменту, його заступників, з питань, що входять до його компетенції. </w:t>
            </w:r>
          </w:p>
          <w:p w:rsidR="005C188C" w:rsidRPr="00E50585" w:rsidRDefault="005C188C" w:rsidP="009958D7">
            <w:pPr>
              <w:tabs>
                <w:tab w:val="num" w:pos="17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 7.</w:t>
            </w: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Бере участь у підготовці проектів розпоряджень виконавчого органу Київської міської ради (Київської міської державної адміністрації) та наказів Департаменту з питань, що входять до його компетенції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88C" w:rsidRPr="00431EF1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5C188C" w:rsidRPr="00431EF1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строковим трудовим договором  </w:t>
            </w:r>
          </w:p>
        </w:tc>
      </w:tr>
      <w:tr w:rsidR="005C188C" w:rsidRPr="00431EF1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примірника заповненої декларації на офіційному веб-сайті НАЗК).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5C188C" w:rsidRPr="00431EF1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05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5C188C" w:rsidRPr="00431EF1" w:rsidTr="009958D7">
        <w:tc>
          <w:tcPr>
            <w:tcW w:w="2518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C188C" w:rsidRPr="00431EF1" w:rsidTr="009958D7">
        <w:tc>
          <w:tcPr>
            <w:tcW w:w="9570" w:type="dxa"/>
            <w:gridSpan w:val="4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C188C" w:rsidRPr="00431EF1" w:rsidTr="009958D7"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5C188C" w:rsidRPr="00BB5791" w:rsidRDefault="005C188C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C188C" w:rsidRPr="00431EF1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5C188C" w:rsidRPr="00BB5791" w:rsidRDefault="005C188C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5C188C" w:rsidRPr="00431EF1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5C188C" w:rsidRPr="00BB5791" w:rsidRDefault="005C188C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5C188C" w:rsidRPr="00431EF1" w:rsidTr="009958D7">
        <w:trPr>
          <w:trHeight w:val="254"/>
        </w:trPr>
        <w:tc>
          <w:tcPr>
            <w:tcW w:w="9570" w:type="dxa"/>
            <w:gridSpan w:val="4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88C" w:rsidRPr="00431EF1" w:rsidTr="009958D7">
        <w:trPr>
          <w:trHeight w:val="254"/>
        </w:trPr>
        <w:tc>
          <w:tcPr>
            <w:tcW w:w="4077" w:type="dxa"/>
            <w:gridSpan w:val="3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C188C" w:rsidRPr="00431EF1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діалогове спілкування (письмове і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усне);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88C" w:rsidRPr="00431EF1" w:rsidRDefault="005C188C" w:rsidP="005C188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88C" w:rsidRPr="00A13526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C188C" w:rsidRPr="00431EF1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5C188C" w:rsidRPr="00431EF1" w:rsidRDefault="005C188C" w:rsidP="005C18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88C" w:rsidRPr="00431EF1" w:rsidRDefault="005C188C" w:rsidP="005C18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88C" w:rsidRPr="00431EF1" w:rsidRDefault="005C188C" w:rsidP="005C18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C188C" w:rsidRPr="00431EF1" w:rsidRDefault="005C188C" w:rsidP="005C18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88C" w:rsidRPr="00431EF1" w:rsidRDefault="005C188C" w:rsidP="005C188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88C" w:rsidRPr="00431EF1" w:rsidTr="009958D7">
        <w:trPr>
          <w:trHeight w:val="254"/>
        </w:trPr>
        <w:tc>
          <w:tcPr>
            <w:tcW w:w="9570" w:type="dxa"/>
            <w:gridSpan w:val="4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C188C" w:rsidRPr="00431EF1" w:rsidTr="009958D7">
        <w:trPr>
          <w:trHeight w:val="254"/>
        </w:trPr>
        <w:tc>
          <w:tcPr>
            <w:tcW w:w="4077" w:type="dxa"/>
            <w:gridSpan w:val="3"/>
          </w:tcPr>
          <w:p w:rsidR="005C188C" w:rsidRPr="00431EF1" w:rsidRDefault="005C188C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C188C" w:rsidRPr="00431EF1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C188C" w:rsidRPr="00431EF1" w:rsidRDefault="005C188C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88C" w:rsidRPr="00A13526" w:rsidTr="009958D7">
        <w:trPr>
          <w:trHeight w:val="254"/>
        </w:trPr>
        <w:tc>
          <w:tcPr>
            <w:tcW w:w="675" w:type="dxa"/>
          </w:tcPr>
          <w:p w:rsidR="005C188C" w:rsidRPr="00431EF1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C188C" w:rsidRPr="00431EF1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транспорт», «Про автомобільний транспорт», «Про міський електричний транспорт», «Про дорожній рух», «Про автомобільні дороги»;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5C188C" w:rsidRPr="00E50585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5C188C" w:rsidRPr="00431EF1" w:rsidRDefault="005C188C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C188C" w:rsidRDefault="001E1787" w:rsidP="005C188C">
      <w:pPr>
        <w:rPr>
          <w:lang w:val="uk-UA"/>
        </w:rPr>
      </w:pPr>
    </w:p>
    <w:sectPr w:rsidR="001E1787" w:rsidRPr="005C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207178"/>
    <w:rsid w:val="003A2548"/>
    <w:rsid w:val="004712ED"/>
    <w:rsid w:val="004E22B3"/>
    <w:rsid w:val="00543145"/>
    <w:rsid w:val="005C188C"/>
    <w:rsid w:val="00770F9D"/>
    <w:rsid w:val="007C50F4"/>
    <w:rsid w:val="00843593"/>
    <w:rsid w:val="0086616D"/>
    <w:rsid w:val="00867ED2"/>
    <w:rsid w:val="0094301E"/>
    <w:rsid w:val="00A027D5"/>
    <w:rsid w:val="00A13526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08D4-76E9-48C3-902D-E612CCFD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2018-09-18T06:11:00Z</dcterms:created>
  <dcterms:modified xsi:type="dcterms:W3CDTF">2019-02-14T06:41:00Z</dcterms:modified>
</cp:coreProperties>
</file>