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9E" w:rsidRDefault="007C189E" w:rsidP="007C189E">
      <w:pPr>
        <w:spacing w:after="0" w:line="240" w:lineRule="auto"/>
        <w:ind w:left="5670"/>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ЗАТВЕРДЖЕНО        </w:t>
      </w:r>
    </w:p>
    <w:p w:rsidR="007C189E" w:rsidRPr="00AD7409" w:rsidRDefault="007C189E" w:rsidP="007C189E">
      <w:pPr>
        <w:spacing w:after="0" w:line="240" w:lineRule="auto"/>
        <w:ind w:left="5670" w:firstLine="567"/>
        <w:rPr>
          <w:rFonts w:ascii="Times New Roman" w:hAnsi="Times New Roman" w:cs="Times New Roman"/>
          <w:color w:val="000000"/>
          <w:sz w:val="16"/>
          <w:szCs w:val="16"/>
          <w:lang w:val="ru-RU"/>
        </w:rPr>
      </w:pPr>
    </w:p>
    <w:p w:rsidR="007C189E" w:rsidRDefault="007C189E" w:rsidP="007C189E">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7C189E" w:rsidRDefault="007C189E" w:rsidP="007C189E">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7C189E" w:rsidRDefault="007C189E" w:rsidP="007C189E">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7C189E" w:rsidRDefault="007C189E" w:rsidP="007C189E">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7C189E" w:rsidRPr="00AD7409" w:rsidRDefault="007C189E" w:rsidP="007C189E">
      <w:pPr>
        <w:spacing w:after="0" w:line="240" w:lineRule="auto"/>
        <w:ind w:left="5670"/>
        <w:rPr>
          <w:rFonts w:ascii="Times New Roman" w:hAnsi="Times New Roman" w:cs="Times New Roman"/>
          <w:color w:val="000000"/>
          <w:sz w:val="16"/>
          <w:szCs w:val="16"/>
        </w:rPr>
      </w:pPr>
    </w:p>
    <w:p w:rsidR="007C189E" w:rsidRDefault="007C189E" w:rsidP="007C189E">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7C189E" w:rsidRDefault="007C189E" w:rsidP="007C189E">
      <w:pPr>
        <w:spacing w:after="0" w:line="240" w:lineRule="auto"/>
        <w:ind w:left="5245"/>
        <w:rPr>
          <w:rFonts w:ascii="Times New Roman" w:hAnsi="Times New Roman" w:cs="Times New Roman"/>
          <w:sz w:val="28"/>
          <w:szCs w:val="28"/>
        </w:rPr>
      </w:pPr>
    </w:p>
    <w:p w:rsidR="007C189E" w:rsidRDefault="007C189E" w:rsidP="007C18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7C189E" w:rsidRDefault="007C189E" w:rsidP="007C189E">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проведення конкурсу на зайняття вакантної посади заступника начальника відділу запобігання та виявлення корупції управління з питань запобігання та виявлення корупції апарату виконавчого органу Київської міської ради (Київської міської державної адміністрації) (категорія «Б»)</w:t>
      </w:r>
    </w:p>
    <w:p w:rsidR="007C189E" w:rsidRDefault="007C189E" w:rsidP="007C189E">
      <w:pPr>
        <w:spacing w:after="0" w:line="240" w:lineRule="auto"/>
        <w:jc w:val="center"/>
        <w:rPr>
          <w:rFonts w:ascii="Times New Roman" w:hAnsi="Times New Roman" w:cs="Times New Roman"/>
          <w:sz w:val="28"/>
          <w:szCs w:val="28"/>
          <w:lang w:eastAsia="zh-CN"/>
        </w:rPr>
      </w:pPr>
    </w:p>
    <w:tbl>
      <w:tblPr>
        <w:tblStyle w:val="a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284"/>
        <w:gridCol w:w="6520"/>
        <w:gridCol w:w="142"/>
      </w:tblGrid>
      <w:tr w:rsidR="007C189E" w:rsidTr="0056081C">
        <w:tc>
          <w:tcPr>
            <w:tcW w:w="9889" w:type="dxa"/>
            <w:gridSpan w:val="5"/>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7C189E" w:rsidRDefault="007C189E" w:rsidP="0056081C">
            <w:pPr>
              <w:jc w:val="center"/>
              <w:rPr>
                <w:rFonts w:ascii="Times New Roman" w:eastAsia="Times New Roman" w:hAnsi="Times New Roman" w:cs="Times New Roman"/>
                <w:sz w:val="28"/>
                <w:szCs w:val="28"/>
              </w:rPr>
            </w:pPr>
          </w:p>
        </w:tc>
      </w:tr>
      <w:tr w:rsidR="007C189E" w:rsidRPr="00C4591D" w:rsidTr="00D72097">
        <w:trPr>
          <w:trHeight w:val="740"/>
        </w:trPr>
        <w:tc>
          <w:tcPr>
            <w:tcW w:w="294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946" w:type="dxa"/>
            <w:gridSpan w:val="3"/>
          </w:tcPr>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lang w:eastAsia="uk-UA"/>
              </w:rPr>
              <w:t>організація, спрямування і контроль за роботою працівників відділу; здійснення керівництва діяльністю відділу на період відсутності начальника відділу;</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rPr>
              <w:t>організація</w:t>
            </w:r>
            <w:r>
              <w:rPr>
                <w:rFonts w:ascii="Times New Roman" w:hAnsi="Times New Roman" w:cs="Times New Roman"/>
                <w:sz w:val="28"/>
                <w:szCs w:val="28"/>
                <w:lang w:eastAsia="uk-UA"/>
              </w:rPr>
              <w:t xml:space="preserve"> та контроль за узагальненням матеріалів щодо оцінки корупційних ризиків у діяльності виконавчого органу Київської міської ради (Київської міської державної адміністрації), підготовка заходів щодо їх усунення та внесення через керівництво Управління Київському міському голові пропозицій щодо таких заходів; </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rPr>
              <w:t>організація</w:t>
            </w:r>
            <w:r>
              <w:rPr>
                <w:rFonts w:ascii="Times New Roman" w:hAnsi="Times New Roman" w:cs="Times New Roman"/>
                <w:sz w:val="28"/>
                <w:szCs w:val="28"/>
                <w:lang w:eastAsia="uk-UA"/>
              </w:rPr>
              <w:t xml:space="preserve"> та контроль за проведенням аналітичної роботи з підготовки антикорупційної програми виконавчого органу Київської міської ради </w:t>
            </w:r>
            <w:r>
              <w:rPr>
                <w:rFonts w:ascii="Times New Roman" w:hAnsi="Times New Roman" w:cs="Times New Roman"/>
                <w:sz w:val="28"/>
                <w:szCs w:val="28"/>
                <w:lang w:eastAsia="uk-UA"/>
              </w:rPr>
              <w:br/>
              <w:t xml:space="preserve">(Київської міської державної адміністрації), </w:t>
            </w:r>
            <w:r>
              <w:rPr>
                <w:rFonts w:ascii="Times New Roman" w:hAnsi="Times New Roman" w:cs="Times New Roman"/>
                <w:sz w:val="28"/>
                <w:szCs w:val="28"/>
                <w:lang w:eastAsia="uk-UA"/>
              </w:rPr>
              <w:br/>
              <w:t>внесення пропозицій керівництву Управління щодо ініціювання змін до неї, подання на погодження та моніторинг її виконання;</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rPr>
            </w:pPr>
            <w:r>
              <w:rPr>
                <w:rFonts w:ascii="Times New Roman" w:hAnsi="Times New Roman" w:cs="Times New Roman"/>
                <w:sz w:val="28"/>
                <w:szCs w:val="28"/>
              </w:rPr>
              <w:t>організація</w:t>
            </w:r>
            <w:r>
              <w:rPr>
                <w:rFonts w:ascii="Times New Roman" w:hAnsi="Times New Roman" w:cs="Times New Roman"/>
                <w:sz w:val="28"/>
                <w:szCs w:val="28"/>
                <w:lang w:eastAsia="uk-UA"/>
              </w:rPr>
              <w:t xml:space="preserve"> та контроль за проведенням заходів з виявлення конфлікту інтересів щодо службових і посадових осіб структурних підрозділів виконавчого органу Київської міської ради (Київської міської державної адміністрації), підприємств, установ і організацій комунальної форми власності територіальної громади міста Києва та сприяння його врегулюванню, внесення керівництву Управління </w:t>
            </w:r>
            <w:proofErr w:type="spellStart"/>
            <w:r>
              <w:rPr>
                <w:rFonts w:ascii="Times New Roman" w:hAnsi="Times New Roman" w:cs="Times New Roman"/>
                <w:sz w:val="28"/>
                <w:szCs w:val="28"/>
                <w:lang w:eastAsia="uk-UA"/>
              </w:rPr>
              <w:t>проєктів</w:t>
            </w:r>
            <w:proofErr w:type="spellEnd"/>
            <w:r>
              <w:rPr>
                <w:rFonts w:ascii="Times New Roman" w:hAnsi="Times New Roman" w:cs="Times New Roman"/>
                <w:sz w:val="28"/>
                <w:szCs w:val="28"/>
                <w:lang w:eastAsia="uk-UA"/>
              </w:rPr>
              <w:t xml:space="preserve"> інформування Київського міського голови, Національного агентства з питань запобігання корупції про виявлення конфлікту інтересів, заходів, вжитих для його врегулювання;</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надання консультативної допомоги в заповненні декларації особи, уповноваженої на виконання функцій </w:t>
            </w:r>
            <w:r>
              <w:rPr>
                <w:rFonts w:ascii="Times New Roman" w:hAnsi="Times New Roman" w:cs="Times New Roman"/>
                <w:sz w:val="28"/>
                <w:szCs w:val="28"/>
                <w:lang w:eastAsia="uk-UA"/>
              </w:rPr>
              <w:lastRenderedPageBreak/>
              <w:t>держави, працівникам виконавчого органу Київської міської ради (Київської міської державної адміністрації);</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опрацювання </w:t>
            </w:r>
            <w:proofErr w:type="spellStart"/>
            <w:r>
              <w:rPr>
                <w:rFonts w:ascii="Times New Roman" w:hAnsi="Times New Roman" w:cs="Times New Roman"/>
                <w:sz w:val="28"/>
                <w:szCs w:val="28"/>
                <w:lang w:eastAsia="uk-UA"/>
              </w:rPr>
              <w:t>проєктів</w:t>
            </w:r>
            <w:proofErr w:type="spellEnd"/>
            <w:r>
              <w:rPr>
                <w:rFonts w:ascii="Times New Roman" w:hAnsi="Times New Roman" w:cs="Times New Roman"/>
                <w:sz w:val="28"/>
                <w:szCs w:val="28"/>
                <w:lang w:eastAsia="uk-UA"/>
              </w:rPr>
              <w:t xml:space="preserve"> розпоряджень виконавчого органу виконавчого органу Київської міської ради (Київської міської державної адміністрації) та наказів керівника апарату виконавчого органу Київської міської ради (Київської міської державної адміністрації) з основної діяльності та з кадрових питань (особового складу) залежно від їх видів та внесення керівництву Управління пропозицій за їх результатами;</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lang w:eastAsia="uk-UA"/>
              </w:rPr>
              <w:t>взаємодія з уповноваженими підрозділами (уповноваженими особами)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Національним агентством з питань запобігання корупції, іншими спеціально уповноваженими суб'єктами у сфері протидії корупції;</w:t>
            </w:r>
          </w:p>
          <w:p w:rsidR="007C189E" w:rsidRDefault="007C189E" w:rsidP="0056081C">
            <w:pPr>
              <w:tabs>
                <w:tab w:val="left" w:pos="436"/>
              </w:tabs>
              <w:spacing w:after="60" w:line="228" w:lineRule="auto"/>
              <w:ind w:left="-108" w:right="100"/>
              <w:jc w:val="both"/>
              <w:rPr>
                <w:rFonts w:ascii="Times New Roman" w:hAnsi="Times New Roman" w:cs="Times New Roman"/>
                <w:sz w:val="28"/>
                <w:szCs w:val="28"/>
                <w:lang w:eastAsia="uk-UA"/>
              </w:rPr>
            </w:pPr>
            <w:r>
              <w:rPr>
                <w:rFonts w:ascii="Times New Roman" w:hAnsi="Times New Roman" w:cs="Times New Roman"/>
                <w:sz w:val="28"/>
                <w:szCs w:val="28"/>
                <w:lang w:eastAsia="uk-UA"/>
              </w:rPr>
              <w:t>координація роботи уповноважених підрозділів (осіб) з питань запобігання та виявлення корупції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узагальнення та аналіз інформації про їх роботу, доповідь керівництву Управління про отриманий результат та в разі необхідності проведення перевірки організації такої роботи</w:t>
            </w:r>
          </w:p>
          <w:p w:rsidR="007C189E" w:rsidRDefault="007C189E" w:rsidP="0056081C">
            <w:pPr>
              <w:tabs>
                <w:tab w:val="left" w:pos="436"/>
              </w:tabs>
              <w:spacing w:after="60" w:line="228" w:lineRule="auto"/>
              <w:ind w:left="-108" w:right="100" w:firstLine="284"/>
              <w:jc w:val="both"/>
              <w:rPr>
                <w:rFonts w:ascii="Times New Roman" w:hAnsi="Times New Roman" w:cs="Times New Roman"/>
                <w:sz w:val="16"/>
                <w:szCs w:val="16"/>
                <w:lang w:eastAsia="zh-CN"/>
              </w:rPr>
            </w:pPr>
          </w:p>
        </w:tc>
      </w:tr>
      <w:tr w:rsidR="007C189E" w:rsidTr="00D72097">
        <w:tc>
          <w:tcPr>
            <w:tcW w:w="2943" w:type="dxa"/>
            <w:gridSpan w:val="2"/>
            <w:hideMark/>
          </w:tcPr>
          <w:p w:rsidR="007C189E" w:rsidRDefault="007C189E" w:rsidP="0056081C">
            <w:pPr>
              <w:rPr>
                <w:rFonts w:ascii="Times New Roman" w:eastAsia="Times New Roman" w:hAnsi="Times New Roman" w:cs="Times New Roman"/>
                <w:sz w:val="28"/>
                <w:szCs w:val="28"/>
              </w:rPr>
            </w:pPr>
            <w:bookmarkStart w:id="0" w:name="_heading=h.gjdgxs"/>
            <w:bookmarkEnd w:id="0"/>
            <w:r>
              <w:rPr>
                <w:rFonts w:ascii="Times New Roman" w:hAnsi="Times New Roman" w:cs="Times New Roman"/>
                <w:sz w:val="28"/>
                <w:szCs w:val="28"/>
              </w:rPr>
              <w:lastRenderedPageBreak/>
              <w:t>Умови оплати праці</w:t>
            </w:r>
          </w:p>
        </w:tc>
        <w:tc>
          <w:tcPr>
            <w:tcW w:w="6946" w:type="dxa"/>
            <w:gridSpan w:val="3"/>
          </w:tcPr>
          <w:p w:rsidR="007C189E" w:rsidRDefault="007C189E" w:rsidP="0056081C">
            <w:pPr>
              <w:ind w:left="-108" w:firstLine="34"/>
              <w:jc w:val="both"/>
              <w:rPr>
                <w:rFonts w:ascii="Times New Roman" w:eastAsia="Times New Roman" w:hAnsi="Times New Roman" w:cs="Times New Roman"/>
                <w:sz w:val="28"/>
                <w:szCs w:val="28"/>
              </w:rPr>
            </w:pPr>
            <w:r>
              <w:rPr>
                <w:rFonts w:ascii="Times New Roman" w:hAnsi="Times New Roman" w:cs="Times New Roman"/>
                <w:sz w:val="28"/>
                <w:szCs w:val="28"/>
              </w:rPr>
              <w:t>посадовий оклад ‒ 6700,00 грн;</w:t>
            </w:r>
          </w:p>
          <w:p w:rsidR="007C189E" w:rsidRDefault="007C189E" w:rsidP="0056081C">
            <w:pPr>
              <w:ind w:left="-1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надбавки, доплати, </w:t>
            </w:r>
            <w:proofErr w:type="spellStart"/>
            <w:proofErr w:type="gramStart"/>
            <w:r>
              <w:rPr>
                <w:rFonts w:ascii="Times New Roman" w:hAnsi="Times New Roman" w:cs="Times New Roman"/>
                <w:sz w:val="28"/>
                <w:szCs w:val="28"/>
                <w:lang w:val="ru-RU"/>
              </w:rPr>
              <w:t>прем</w:t>
            </w:r>
            <w:proofErr w:type="gramEnd"/>
            <w:r>
              <w:rPr>
                <w:rFonts w:ascii="Times New Roman" w:hAnsi="Times New Roman" w:cs="Times New Roman"/>
                <w:sz w:val="28"/>
                <w:szCs w:val="28"/>
                <w:lang w:val="ru-RU"/>
              </w:rPr>
              <w:t>ії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компенсації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статті</w:t>
            </w:r>
            <w:proofErr w:type="spellEnd"/>
            <w:r>
              <w:rPr>
                <w:rFonts w:ascii="Times New Roman" w:hAnsi="Times New Roman" w:cs="Times New Roman"/>
                <w:sz w:val="28"/>
                <w:szCs w:val="28"/>
                <w:lang w:val="ru-RU"/>
              </w:rPr>
              <w:t xml:space="preserve"> 52 Закону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державну</w:t>
            </w:r>
            <w:proofErr w:type="spellEnd"/>
            <w:r>
              <w:rPr>
                <w:rFonts w:ascii="Times New Roman" w:hAnsi="Times New Roman" w:cs="Times New Roman"/>
                <w:sz w:val="28"/>
                <w:szCs w:val="28"/>
                <w:lang w:val="ru-RU"/>
              </w:rPr>
              <w:t xml:space="preserve"> службу»</w:t>
            </w:r>
          </w:p>
          <w:p w:rsidR="007C189E" w:rsidRDefault="007C189E" w:rsidP="0056081C">
            <w:pPr>
              <w:ind w:left="-108"/>
              <w:jc w:val="both"/>
              <w:rPr>
                <w:rFonts w:ascii="Times New Roman" w:eastAsia="Times New Roman" w:hAnsi="Times New Roman" w:cs="Times New Roman"/>
                <w:sz w:val="28"/>
                <w:szCs w:val="28"/>
              </w:rPr>
            </w:pPr>
          </w:p>
        </w:tc>
      </w:tr>
      <w:tr w:rsidR="007C189E" w:rsidTr="00D72097">
        <w:tc>
          <w:tcPr>
            <w:tcW w:w="294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6946" w:type="dxa"/>
            <w:gridSpan w:val="3"/>
            <w:hideMark/>
          </w:tcPr>
          <w:p w:rsidR="007C189E" w:rsidRDefault="007C189E" w:rsidP="0056081C">
            <w:pPr>
              <w:pStyle w:val="a4"/>
              <w:jc w:val="both"/>
              <w:rPr>
                <w:rFonts w:ascii="Times New Roman" w:hAnsi="Times New Roman"/>
                <w:sz w:val="28"/>
                <w:szCs w:val="28"/>
                <w:lang w:val="ru-RU" w:eastAsia="en-US"/>
              </w:rPr>
            </w:pPr>
            <w:proofErr w:type="spellStart"/>
            <w:r>
              <w:rPr>
                <w:rFonts w:ascii="Times New Roman" w:hAnsi="Times New Roman"/>
                <w:sz w:val="28"/>
                <w:szCs w:val="28"/>
                <w:lang w:val="ru-RU" w:eastAsia="en-US"/>
              </w:rPr>
              <w:t>безстроково</w:t>
            </w:r>
            <w:proofErr w:type="spellEnd"/>
            <w:r>
              <w:rPr>
                <w:rFonts w:ascii="Times New Roman" w:hAnsi="Times New Roman"/>
                <w:sz w:val="28"/>
                <w:szCs w:val="28"/>
                <w:lang w:val="ru-RU" w:eastAsia="en-US"/>
              </w:rPr>
              <w:t>;</w:t>
            </w:r>
          </w:p>
          <w:p w:rsidR="007C189E" w:rsidRDefault="007C189E" w:rsidP="0056081C">
            <w:pPr>
              <w:ind w:firstLine="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строк </w:t>
            </w:r>
            <w:proofErr w:type="spellStart"/>
            <w:r>
              <w:rPr>
                <w:rFonts w:ascii="Times New Roman" w:hAnsi="Times New Roman" w:cs="Times New Roman"/>
                <w:sz w:val="28"/>
                <w:szCs w:val="28"/>
                <w:lang w:val="ru-RU"/>
              </w:rPr>
              <w:t>призначення</w:t>
            </w:r>
            <w:proofErr w:type="spellEnd"/>
            <w:r>
              <w:rPr>
                <w:rFonts w:ascii="Times New Roman" w:hAnsi="Times New Roman" w:cs="Times New Roman"/>
                <w:sz w:val="28"/>
                <w:szCs w:val="28"/>
                <w:lang w:val="ru-RU"/>
              </w:rPr>
              <w:t xml:space="preserve"> особи, яка </w:t>
            </w:r>
            <w:proofErr w:type="spellStart"/>
            <w:r>
              <w:rPr>
                <w:rFonts w:ascii="Times New Roman" w:hAnsi="Times New Roman" w:cs="Times New Roman"/>
                <w:sz w:val="28"/>
                <w:szCs w:val="28"/>
                <w:lang w:val="ru-RU"/>
              </w:rPr>
              <w:t>досягла</w:t>
            </w:r>
            <w:proofErr w:type="spellEnd"/>
            <w:r>
              <w:rPr>
                <w:rFonts w:ascii="Times New Roman" w:hAnsi="Times New Roman" w:cs="Times New Roman"/>
                <w:sz w:val="28"/>
                <w:szCs w:val="28"/>
                <w:lang w:val="ru-RU"/>
              </w:rPr>
              <w:t xml:space="preserve"> 65-річного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 xml:space="preserve">, становить один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ік</w:t>
            </w:r>
            <w:proofErr w:type="spellEnd"/>
            <w:r>
              <w:rPr>
                <w:rFonts w:ascii="Times New Roman" w:hAnsi="Times New Roman" w:cs="Times New Roman"/>
                <w:sz w:val="28"/>
                <w:szCs w:val="28"/>
                <w:lang w:val="ru-RU"/>
              </w:rPr>
              <w:t xml:space="preserve"> з правом повторного </w:t>
            </w:r>
            <w:proofErr w:type="spellStart"/>
            <w:r>
              <w:rPr>
                <w:rFonts w:ascii="Times New Roman" w:hAnsi="Times New Roman" w:cs="Times New Roman"/>
                <w:sz w:val="28"/>
                <w:szCs w:val="28"/>
                <w:lang w:val="ru-RU"/>
              </w:rPr>
              <w:t>призначення</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обов’язкового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конкурсу </w:t>
            </w:r>
            <w:proofErr w:type="spellStart"/>
            <w:r>
              <w:rPr>
                <w:rFonts w:ascii="Times New Roman" w:hAnsi="Times New Roman" w:cs="Times New Roman"/>
                <w:sz w:val="28"/>
                <w:szCs w:val="28"/>
                <w:lang w:val="ru-RU"/>
              </w:rPr>
              <w:t>щороку</w:t>
            </w:r>
            <w:proofErr w:type="spellEnd"/>
          </w:p>
          <w:p w:rsidR="007C189E" w:rsidRDefault="007C189E" w:rsidP="0056081C">
            <w:pPr>
              <w:ind w:firstLine="34"/>
              <w:jc w:val="both"/>
              <w:rPr>
                <w:rFonts w:ascii="Times New Roman" w:hAnsi="Times New Roman" w:cs="Times New Roman"/>
                <w:sz w:val="28"/>
                <w:szCs w:val="28"/>
                <w:lang w:val="ru-RU"/>
              </w:rPr>
            </w:pPr>
          </w:p>
        </w:tc>
      </w:tr>
      <w:tr w:rsidR="007C189E" w:rsidTr="00D72097">
        <w:tc>
          <w:tcPr>
            <w:tcW w:w="2943" w:type="dxa"/>
            <w:gridSpan w:val="2"/>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p w:rsidR="007C189E" w:rsidRDefault="007C189E" w:rsidP="0056081C">
            <w:pPr>
              <w:rPr>
                <w:rFonts w:ascii="Times New Roman" w:eastAsia="Times New Roman" w:hAnsi="Times New Roman" w:cs="Times New Roman"/>
                <w:sz w:val="28"/>
                <w:szCs w:val="28"/>
              </w:rPr>
            </w:pPr>
          </w:p>
        </w:tc>
        <w:tc>
          <w:tcPr>
            <w:tcW w:w="6946" w:type="dxa"/>
            <w:gridSpan w:val="3"/>
            <w:shd w:val="clear" w:color="auto" w:fill="auto"/>
          </w:tcPr>
          <w:p w:rsidR="007C189E" w:rsidRDefault="007C189E" w:rsidP="0056081C">
            <w:pPr>
              <w:pStyle w:val="rvps2"/>
              <w:shd w:val="clear" w:color="auto" w:fill="FFFFFF"/>
              <w:spacing w:before="0" w:beforeAutospacing="0" w:after="0" w:afterAutospacing="0"/>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від </w:t>
            </w:r>
            <w:r>
              <w:rPr>
                <w:sz w:val="28"/>
                <w:szCs w:val="28"/>
              </w:rPr>
              <w:br/>
              <w:t xml:space="preserve">25 березня 2016 року № 246 (у редакції постанови Кабінету Міністрів України від 18 серпня 2017 року </w:t>
            </w:r>
            <w:r>
              <w:rPr>
                <w:sz w:val="28"/>
                <w:szCs w:val="28"/>
              </w:rPr>
              <w:br/>
              <w:t>№ 648) (далі – Порядок);</w:t>
            </w:r>
          </w:p>
          <w:p w:rsidR="007C189E" w:rsidRDefault="007C189E" w:rsidP="0056081C">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2) резюме за формою згідно з додатком 2¹ до Порядку, в якому обов’язково зазначається така інформація:</w:t>
            </w:r>
          </w:p>
          <w:p w:rsidR="007C189E" w:rsidRDefault="007C189E" w:rsidP="0056081C">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прізвище, ім’я, по батькові кандидата;</w:t>
            </w:r>
          </w:p>
          <w:p w:rsidR="007C189E" w:rsidRDefault="007C189E" w:rsidP="0056081C">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7C189E" w:rsidRDefault="007C189E" w:rsidP="0056081C">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7C189E" w:rsidRDefault="007C189E" w:rsidP="0056081C">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підтвердження рівня володіння державною мовою;</w:t>
            </w:r>
          </w:p>
          <w:p w:rsidR="007C189E" w:rsidRDefault="007C189E" w:rsidP="0056081C">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C189E" w:rsidRDefault="007C189E" w:rsidP="0056081C">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3) заява, в якій особа повідомляє, що до неї не застосовуються заборони, визначені частиною третьою або четвертою статті 1 Закону України </w:t>
            </w:r>
            <w:r>
              <w:rPr>
                <w:color w:val="000000"/>
                <w:sz w:val="28"/>
                <w:szCs w:val="28"/>
              </w:rPr>
              <w:br/>
              <w:t>«Про очищення влади», та надає згоду на проходження перевірки та на оприлюднення відомостей стосовно неї відповідно до зазначеного Закону;</w:t>
            </w:r>
          </w:p>
          <w:p w:rsidR="007C189E" w:rsidRDefault="007C189E" w:rsidP="0056081C">
            <w:pPr>
              <w:pStyle w:val="rvps2"/>
              <w:shd w:val="clear" w:color="auto" w:fill="FFFFFF"/>
              <w:spacing w:before="0" w:beforeAutospacing="0" w:after="0" w:afterAutospacing="0"/>
              <w:jc w:val="both"/>
              <w:textAlignment w:val="baseline"/>
              <w:rPr>
                <w:color w:val="000000"/>
                <w:sz w:val="10"/>
                <w:szCs w:val="10"/>
              </w:rPr>
            </w:pPr>
          </w:p>
          <w:p w:rsidR="007C189E" w:rsidRDefault="007C189E" w:rsidP="0056081C">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подача додатків до заяви не є обов’язковою;</w:t>
            </w:r>
          </w:p>
          <w:p w:rsidR="007C189E" w:rsidRDefault="007C189E" w:rsidP="0056081C">
            <w:pPr>
              <w:pStyle w:val="rvps2"/>
              <w:shd w:val="clear" w:color="auto" w:fill="FFFFFF"/>
              <w:spacing w:before="0" w:beforeAutospacing="0" w:after="0" w:afterAutospacing="0"/>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7C189E" w:rsidRDefault="007C189E" w:rsidP="0056081C">
            <w:pPr>
              <w:jc w:val="both"/>
              <w:rPr>
                <w:rStyle w:val="a3"/>
                <w:rFonts w:ascii="Times New Roman" w:hAnsi="Times New Roman" w:cs="Times New Roman"/>
                <w:sz w:val="28"/>
                <w:szCs w:val="28"/>
              </w:rPr>
            </w:pPr>
            <w:r>
              <w:rPr>
                <w:rFonts w:ascii="Times New Roman" w:hAnsi="Times New Roman" w:cs="Times New Roman"/>
                <w:color w:val="000000"/>
                <w:sz w:val="28"/>
                <w:szCs w:val="28"/>
              </w:rPr>
              <w:t xml:space="preserve">інформація приймається до 15.45 09 липня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Pr>
                  <w:rStyle w:val="a3"/>
                  <w:rFonts w:ascii="Times New Roman" w:hAnsi="Times New Roman" w:cs="Times New Roman"/>
                  <w:sz w:val="28"/>
                  <w:szCs w:val="28"/>
                </w:rPr>
                <w:t>https://career.gov.ua</w:t>
              </w:r>
            </w:hyperlink>
          </w:p>
          <w:p w:rsidR="007C189E" w:rsidRDefault="007C189E" w:rsidP="0056081C">
            <w:pPr>
              <w:jc w:val="both"/>
              <w:rPr>
                <w:rFonts w:ascii="Times New Roman" w:hAnsi="Times New Roman" w:cs="Times New Roman"/>
                <w:color w:val="000000"/>
                <w:sz w:val="28"/>
                <w:szCs w:val="28"/>
              </w:rPr>
            </w:pPr>
          </w:p>
          <w:p w:rsidR="007C189E" w:rsidRPr="009C63D0" w:rsidRDefault="007C189E" w:rsidP="0056081C">
            <w:pPr>
              <w:ind w:firstLine="318"/>
              <w:jc w:val="both"/>
              <w:rPr>
                <w:rFonts w:ascii="Times New Roman" w:eastAsia="Times New Roman" w:hAnsi="Times New Roman" w:cs="Times New Roman"/>
                <w:sz w:val="12"/>
                <w:szCs w:val="12"/>
              </w:rPr>
            </w:pPr>
          </w:p>
        </w:tc>
      </w:tr>
      <w:tr w:rsidR="007C189E" w:rsidTr="00D72097">
        <w:tc>
          <w:tcPr>
            <w:tcW w:w="2943" w:type="dxa"/>
            <w:gridSpan w:val="2"/>
            <w:hideMark/>
          </w:tcPr>
          <w:p w:rsidR="007C189E" w:rsidRDefault="007C189E" w:rsidP="0056081C">
            <w:pPr>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p w:rsidR="007C189E" w:rsidRDefault="007C189E" w:rsidP="0056081C">
            <w:pPr>
              <w:rPr>
                <w:rFonts w:ascii="Times New Roman" w:hAnsi="Times New Roman" w:cs="Times New Roman"/>
                <w:sz w:val="28"/>
                <w:szCs w:val="28"/>
              </w:rPr>
            </w:pPr>
          </w:p>
        </w:tc>
        <w:tc>
          <w:tcPr>
            <w:tcW w:w="6946" w:type="dxa"/>
            <w:gridSpan w:val="3"/>
          </w:tcPr>
          <w:p w:rsidR="007C189E" w:rsidRDefault="007C189E" w:rsidP="0056081C">
            <w:pPr>
              <w:pStyle w:val="rvps2"/>
              <w:shd w:val="clear" w:color="auto" w:fill="FFFFFF"/>
              <w:spacing w:before="0" w:beforeAutospacing="0" w:after="0" w:afterAutospacing="0"/>
              <w:ind w:left="35"/>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7C189E" w:rsidRDefault="007C189E" w:rsidP="0056081C">
            <w:pPr>
              <w:ind w:firstLine="708"/>
              <w:rPr>
                <w:rFonts w:ascii="Times New Roman" w:eastAsia="Times New Roman" w:hAnsi="Times New Roman" w:cs="Times New Roman"/>
                <w:sz w:val="16"/>
                <w:szCs w:val="16"/>
                <w:lang w:eastAsia="uk-UA"/>
              </w:rPr>
            </w:pPr>
          </w:p>
        </w:tc>
      </w:tr>
      <w:tr w:rsidR="007C189E" w:rsidTr="00D72097">
        <w:tc>
          <w:tcPr>
            <w:tcW w:w="2943" w:type="dxa"/>
            <w:gridSpan w:val="2"/>
          </w:tcPr>
          <w:p w:rsidR="007C189E" w:rsidRDefault="007C189E" w:rsidP="0056081C">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7C189E" w:rsidRDefault="007C189E" w:rsidP="0056081C">
            <w:pPr>
              <w:rPr>
                <w:rFonts w:ascii="Times New Roman" w:eastAsia="Times New Roman" w:hAnsi="Times New Roman" w:cs="Times New Roman"/>
                <w:sz w:val="16"/>
                <w:szCs w:val="16"/>
              </w:rPr>
            </w:pPr>
          </w:p>
          <w:p w:rsidR="007C189E" w:rsidRDefault="007C189E" w:rsidP="0056081C">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7C189E" w:rsidRDefault="007C189E" w:rsidP="0056081C">
            <w:pPr>
              <w:rPr>
                <w:rFonts w:ascii="Times New Roman" w:hAnsi="Times New Roman" w:cs="Times New Roman"/>
                <w:sz w:val="16"/>
                <w:szCs w:val="16"/>
              </w:rPr>
            </w:pPr>
          </w:p>
          <w:p w:rsidR="007C189E" w:rsidRDefault="007C189E" w:rsidP="0056081C">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(із зазначенням електронної </w:t>
            </w:r>
            <w:r>
              <w:rPr>
                <w:rFonts w:ascii="Times New Roman" w:hAnsi="Times New Roman" w:cs="Times New Roman"/>
                <w:sz w:val="28"/>
                <w:szCs w:val="28"/>
              </w:rPr>
              <w:lastRenderedPageBreak/>
              <w:t xml:space="preserve">платформи для комунікації дистанційно) </w:t>
            </w:r>
          </w:p>
          <w:p w:rsidR="007C189E" w:rsidRDefault="007C189E" w:rsidP="0056081C">
            <w:pPr>
              <w:rPr>
                <w:rFonts w:ascii="Times New Roman" w:hAnsi="Times New Roman" w:cs="Times New Roman"/>
                <w:sz w:val="16"/>
                <w:szCs w:val="16"/>
              </w:rPr>
            </w:pPr>
          </w:p>
          <w:p w:rsidR="007C189E" w:rsidRDefault="007C189E" w:rsidP="0056081C">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p w:rsidR="007C189E" w:rsidRDefault="007C189E" w:rsidP="0056081C">
            <w:pPr>
              <w:rPr>
                <w:rFonts w:ascii="Times New Roman" w:hAnsi="Times New Roman" w:cs="Times New Roman"/>
                <w:sz w:val="28"/>
                <w:szCs w:val="28"/>
              </w:rPr>
            </w:pPr>
            <w:r>
              <w:rPr>
                <w:rFonts w:ascii="Times New Roman" w:hAnsi="Times New Roman" w:cs="Times New Roman"/>
                <w:sz w:val="28"/>
                <w:szCs w:val="28"/>
              </w:rPr>
              <w:t xml:space="preserve"> </w:t>
            </w:r>
          </w:p>
        </w:tc>
        <w:tc>
          <w:tcPr>
            <w:tcW w:w="6946" w:type="dxa"/>
            <w:gridSpan w:val="3"/>
          </w:tcPr>
          <w:p w:rsidR="007C189E" w:rsidRDefault="007C189E" w:rsidP="0056081C">
            <w:pPr>
              <w:ind w:firstLine="35"/>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14 липня 2021 року, 10 год 00 хв</w:t>
            </w:r>
          </w:p>
          <w:p w:rsidR="007C189E" w:rsidRDefault="007C189E" w:rsidP="0056081C">
            <w:pPr>
              <w:ind w:firstLine="176"/>
              <w:jc w:val="both"/>
              <w:rPr>
                <w:rFonts w:ascii="Times New Roman" w:hAnsi="Times New Roman" w:cs="Times New Roman"/>
                <w:sz w:val="28"/>
                <w:szCs w:val="28"/>
              </w:rPr>
            </w:pPr>
          </w:p>
          <w:p w:rsidR="007C189E" w:rsidRDefault="007C189E" w:rsidP="0056081C">
            <w:pPr>
              <w:ind w:firstLine="176"/>
              <w:jc w:val="both"/>
              <w:rPr>
                <w:rFonts w:ascii="Times New Roman" w:hAnsi="Times New Roman" w:cs="Times New Roman"/>
                <w:sz w:val="28"/>
                <w:szCs w:val="28"/>
              </w:rPr>
            </w:pPr>
          </w:p>
          <w:p w:rsidR="007C189E" w:rsidRDefault="007C189E" w:rsidP="0056081C">
            <w:pPr>
              <w:ind w:firstLine="176"/>
              <w:jc w:val="both"/>
              <w:rPr>
                <w:rFonts w:ascii="Times New Roman" w:hAnsi="Times New Roman" w:cs="Times New Roman"/>
                <w:sz w:val="16"/>
                <w:szCs w:val="16"/>
              </w:rPr>
            </w:pPr>
          </w:p>
          <w:p w:rsidR="007C189E" w:rsidRDefault="007C189E" w:rsidP="0056081C">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7C189E" w:rsidRDefault="007C189E" w:rsidP="0056081C">
            <w:pPr>
              <w:ind w:firstLine="176"/>
              <w:jc w:val="both"/>
              <w:rPr>
                <w:rFonts w:ascii="Times New Roman" w:hAnsi="Times New Roman" w:cs="Times New Roman"/>
                <w:sz w:val="16"/>
                <w:szCs w:val="16"/>
              </w:rPr>
            </w:pPr>
          </w:p>
          <w:p w:rsidR="007C189E" w:rsidRDefault="007C189E" w:rsidP="0056081C">
            <w:pPr>
              <w:ind w:firstLine="35"/>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7C189E" w:rsidRDefault="007C189E" w:rsidP="0056081C">
            <w:pPr>
              <w:ind w:firstLine="176"/>
              <w:jc w:val="both"/>
              <w:rPr>
                <w:rFonts w:ascii="Times New Roman" w:hAnsi="Times New Roman" w:cs="Times New Roman"/>
                <w:sz w:val="28"/>
                <w:szCs w:val="28"/>
              </w:rPr>
            </w:pPr>
          </w:p>
          <w:p w:rsidR="007C189E" w:rsidRDefault="007C189E" w:rsidP="0056081C">
            <w:pPr>
              <w:ind w:firstLine="176"/>
              <w:jc w:val="both"/>
              <w:rPr>
                <w:rFonts w:ascii="Times New Roman" w:hAnsi="Times New Roman" w:cs="Times New Roman"/>
                <w:sz w:val="28"/>
                <w:szCs w:val="28"/>
              </w:rPr>
            </w:pPr>
          </w:p>
          <w:p w:rsidR="007C189E" w:rsidRDefault="007C189E" w:rsidP="0056081C">
            <w:pPr>
              <w:ind w:firstLine="176"/>
              <w:jc w:val="both"/>
              <w:rPr>
                <w:rFonts w:ascii="Times New Roman" w:hAnsi="Times New Roman" w:cs="Times New Roman"/>
                <w:sz w:val="28"/>
                <w:szCs w:val="28"/>
              </w:rPr>
            </w:pPr>
          </w:p>
          <w:p w:rsidR="007C189E" w:rsidRDefault="007C189E" w:rsidP="0056081C">
            <w:pPr>
              <w:ind w:firstLine="176"/>
              <w:jc w:val="both"/>
              <w:rPr>
                <w:rFonts w:ascii="Times New Roman" w:hAnsi="Times New Roman" w:cs="Times New Roman"/>
                <w:sz w:val="28"/>
                <w:szCs w:val="28"/>
              </w:rPr>
            </w:pPr>
          </w:p>
          <w:p w:rsidR="007C189E" w:rsidRDefault="007C189E" w:rsidP="0056081C">
            <w:pPr>
              <w:ind w:firstLine="176"/>
              <w:jc w:val="both"/>
              <w:rPr>
                <w:rFonts w:ascii="Times New Roman" w:hAnsi="Times New Roman" w:cs="Times New Roman"/>
                <w:sz w:val="16"/>
                <w:szCs w:val="16"/>
              </w:rPr>
            </w:pPr>
          </w:p>
          <w:p w:rsidR="007C189E" w:rsidRDefault="007C189E" w:rsidP="0056081C">
            <w:pPr>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7C189E" w:rsidTr="00D72097">
        <w:tc>
          <w:tcPr>
            <w:tcW w:w="294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Прізвище, ім’я та </w:t>
            </w:r>
            <w:r>
              <w:rPr>
                <w:rFonts w:ascii="Times New Roman" w:hAnsi="Times New Roman" w:cs="Times New Roman"/>
                <w:sz w:val="28"/>
                <w:szCs w:val="28"/>
              </w:rPr>
              <w:br/>
              <w:t>по батькові, номер телефону та адреса електронної пошти особи, яка надає додаткову інформацію з питань проведення конкурсу</w:t>
            </w:r>
          </w:p>
        </w:tc>
        <w:tc>
          <w:tcPr>
            <w:tcW w:w="6946" w:type="dxa"/>
            <w:gridSpan w:val="3"/>
          </w:tcPr>
          <w:p w:rsidR="007C189E" w:rsidRDefault="007C189E" w:rsidP="0056081C">
            <w:pPr>
              <w:ind w:firstLine="34"/>
              <w:jc w:val="both"/>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+38 (044) 202 75 31, 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7C189E" w:rsidRDefault="007C189E" w:rsidP="0056081C">
            <w:pPr>
              <w:ind w:firstLine="34"/>
              <w:jc w:val="both"/>
              <w:rPr>
                <w:rFonts w:ascii="Times New Roman" w:hAnsi="Times New Roman" w:cs="Times New Roman"/>
                <w:color w:val="000000"/>
                <w:sz w:val="28"/>
                <w:szCs w:val="28"/>
                <w:u w:val="single"/>
              </w:rPr>
            </w:pPr>
          </w:p>
          <w:p w:rsidR="007C189E" w:rsidRDefault="007C189E" w:rsidP="0056081C">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+38 (044) 202 74 07, </w:t>
            </w:r>
          </w:p>
          <w:p w:rsidR="007C189E" w:rsidRDefault="007C189E" w:rsidP="0056081C">
            <w:pPr>
              <w:ind w:firstLine="35"/>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7C189E" w:rsidTr="0056081C">
        <w:tc>
          <w:tcPr>
            <w:tcW w:w="9889" w:type="dxa"/>
            <w:gridSpan w:val="5"/>
          </w:tcPr>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r>
              <w:rPr>
                <w:rFonts w:ascii="Times New Roman" w:hAnsi="Times New Roman" w:cs="Times New Roman"/>
                <w:sz w:val="28"/>
                <w:szCs w:val="28"/>
              </w:rPr>
              <w:t>Кваліфікаційні вимоги</w:t>
            </w:r>
          </w:p>
          <w:p w:rsidR="007C189E" w:rsidRDefault="007C189E" w:rsidP="0056081C">
            <w:pPr>
              <w:jc w:val="center"/>
              <w:rPr>
                <w:rFonts w:ascii="Times New Roman" w:eastAsia="Times New Roman" w:hAnsi="Times New Roman" w:cs="Times New Roman"/>
                <w:sz w:val="28"/>
                <w:szCs w:val="28"/>
                <w:lang w:val="en-US"/>
              </w:rPr>
            </w:pPr>
          </w:p>
          <w:p w:rsidR="007C189E" w:rsidRDefault="007C189E" w:rsidP="0056081C">
            <w:pPr>
              <w:jc w:val="center"/>
              <w:rPr>
                <w:rFonts w:ascii="Times New Roman" w:eastAsia="Times New Roman" w:hAnsi="Times New Roman" w:cs="Times New Roman"/>
                <w:sz w:val="12"/>
                <w:szCs w:val="12"/>
                <w:lang w:val="en-US"/>
              </w:rPr>
            </w:pPr>
          </w:p>
        </w:tc>
      </w:tr>
      <w:tr w:rsidR="007C189E" w:rsidTr="0056081C">
        <w:trPr>
          <w:gridAfter w:val="1"/>
          <w:wAfter w:w="142" w:type="dxa"/>
        </w:trPr>
        <w:tc>
          <w:tcPr>
            <w:tcW w:w="534" w:type="dxa"/>
            <w:hideMark/>
          </w:tcPr>
          <w:p w:rsidR="007C189E" w:rsidRDefault="007C189E" w:rsidP="0056081C">
            <w:pPr>
              <w:jc w:val="center"/>
              <w:rPr>
                <w:rFonts w:ascii="Times New Roman" w:eastAsia="Times New Roman" w:hAnsi="Times New Roman" w:cs="Times New Roman"/>
                <w:sz w:val="28"/>
                <w:szCs w:val="28"/>
              </w:rPr>
            </w:pPr>
            <w:bookmarkStart w:id="1" w:name="_GoBack" w:colFirst="1" w:colLast="2"/>
            <w:r>
              <w:rPr>
                <w:rFonts w:ascii="Times New Roman" w:hAnsi="Times New Roman" w:cs="Times New Roman"/>
                <w:sz w:val="28"/>
                <w:szCs w:val="28"/>
              </w:rPr>
              <w:t>1.</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520" w:type="dxa"/>
            <w:hideMark/>
          </w:tcPr>
          <w:p w:rsidR="007C189E" w:rsidRDefault="007C189E" w:rsidP="0056081C">
            <w:pPr>
              <w:ind w:left="-108"/>
              <w:jc w:val="both"/>
              <w:rPr>
                <w:rFonts w:ascii="Times New Roman" w:hAnsi="Times New Roman" w:cs="Times New Roman"/>
                <w:sz w:val="28"/>
                <w:szCs w:val="28"/>
                <w:lang w:val="ru-RU"/>
              </w:rPr>
            </w:pPr>
            <w:r>
              <w:rPr>
                <w:rFonts w:ascii="Times New Roman" w:hAnsi="Times New Roman" w:cs="Times New Roman"/>
                <w:sz w:val="28"/>
                <w:szCs w:val="28"/>
              </w:rPr>
              <w:t>в</w:t>
            </w:r>
            <w:r>
              <w:rPr>
                <w:rFonts w:ascii="Times New Roman" w:hAnsi="Times New Roman" w:cs="Times New Roman"/>
                <w:sz w:val="28"/>
                <w:szCs w:val="28"/>
                <w:lang w:val="ru-RU"/>
              </w:rPr>
              <w:t xml:space="preserve">ища </w:t>
            </w:r>
            <w:proofErr w:type="spellStart"/>
            <w:r>
              <w:rPr>
                <w:rFonts w:ascii="Times New Roman" w:hAnsi="Times New Roman" w:cs="Times New Roman"/>
                <w:sz w:val="28"/>
                <w:szCs w:val="28"/>
                <w:lang w:val="ru-RU"/>
              </w:rPr>
              <w:t>юридична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освіта</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освітнім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ступенем</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нижче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магістр</w:t>
            </w:r>
            <w:proofErr w:type="spellEnd"/>
          </w:p>
          <w:p w:rsidR="007C189E" w:rsidRDefault="007C189E" w:rsidP="0056081C">
            <w:pPr>
              <w:ind w:left="-108"/>
              <w:jc w:val="both"/>
              <w:rPr>
                <w:rFonts w:ascii="Times New Roman" w:hAnsi="Times New Roman" w:cs="Times New Roman"/>
                <w:sz w:val="28"/>
                <w:szCs w:val="28"/>
                <w:lang w:val="ru-RU"/>
              </w:rPr>
            </w:pPr>
          </w:p>
        </w:tc>
      </w:tr>
      <w:tr w:rsidR="007C189E" w:rsidTr="0056081C">
        <w:trPr>
          <w:gridAfter w:val="1"/>
          <w:wAfter w:w="142" w:type="dxa"/>
        </w:trPr>
        <w:tc>
          <w:tcPr>
            <w:tcW w:w="534" w:type="dxa"/>
            <w:hideMark/>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520" w:type="dxa"/>
            <w:hideMark/>
          </w:tcPr>
          <w:p w:rsidR="007C189E" w:rsidRDefault="007C189E" w:rsidP="0056081C">
            <w:pPr>
              <w:ind w:lef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ніж два роки </w:t>
            </w:r>
          </w:p>
          <w:p w:rsidR="007C189E" w:rsidRDefault="007C189E" w:rsidP="0056081C">
            <w:pPr>
              <w:ind w:left="-108"/>
              <w:jc w:val="both"/>
              <w:rPr>
                <w:rFonts w:ascii="Times New Roman" w:hAnsi="Times New Roman" w:cs="Times New Roman"/>
                <w:color w:val="000000"/>
                <w:sz w:val="28"/>
                <w:szCs w:val="28"/>
                <w:shd w:val="clear" w:color="auto" w:fill="FFFFFF"/>
              </w:rPr>
            </w:pPr>
          </w:p>
        </w:tc>
      </w:tr>
      <w:tr w:rsidR="007C189E" w:rsidTr="0056081C">
        <w:trPr>
          <w:gridAfter w:val="1"/>
          <w:wAfter w:w="142" w:type="dxa"/>
        </w:trPr>
        <w:tc>
          <w:tcPr>
            <w:tcW w:w="534" w:type="dxa"/>
            <w:hideMark/>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520" w:type="dxa"/>
          </w:tcPr>
          <w:p w:rsidR="007C189E" w:rsidRDefault="007C189E" w:rsidP="0056081C">
            <w:pPr>
              <w:ind w:left="-108"/>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7C189E" w:rsidRDefault="007C189E" w:rsidP="0056081C">
            <w:pPr>
              <w:ind w:left="-108" w:firstLine="33"/>
              <w:jc w:val="both"/>
              <w:rPr>
                <w:rFonts w:ascii="Times New Roman" w:eastAsia="Times New Roman" w:hAnsi="Times New Roman" w:cs="Times New Roman"/>
                <w:color w:val="000000"/>
                <w:sz w:val="28"/>
                <w:szCs w:val="28"/>
                <w:shd w:val="clear" w:color="auto" w:fill="FFFFFF"/>
              </w:rPr>
            </w:pPr>
          </w:p>
        </w:tc>
      </w:tr>
      <w:bookmarkEnd w:id="1"/>
      <w:tr w:rsidR="007C189E" w:rsidTr="0056081C">
        <w:tc>
          <w:tcPr>
            <w:tcW w:w="9889" w:type="dxa"/>
            <w:gridSpan w:val="5"/>
          </w:tcPr>
          <w:p w:rsidR="007C189E" w:rsidRPr="009C63D0" w:rsidRDefault="007C189E" w:rsidP="0056081C">
            <w:pPr>
              <w:tabs>
                <w:tab w:val="left" w:pos="3525"/>
              </w:tabs>
              <w:rPr>
                <w:rFonts w:ascii="Times New Roman" w:eastAsia="Times New Roman" w:hAnsi="Times New Roman" w:cs="Times New Roman"/>
                <w:sz w:val="12"/>
                <w:szCs w:val="12"/>
              </w:rPr>
            </w:pPr>
            <w:r>
              <w:rPr>
                <w:rFonts w:ascii="Times New Roman" w:hAnsi="Times New Roman" w:cs="Times New Roman"/>
                <w:sz w:val="28"/>
                <w:szCs w:val="28"/>
              </w:rPr>
              <w:tab/>
            </w: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7C189E" w:rsidRDefault="007C189E" w:rsidP="0056081C">
            <w:pPr>
              <w:jc w:val="center"/>
              <w:rPr>
                <w:rFonts w:ascii="Times New Roman" w:hAnsi="Times New Roman" w:cs="Times New Roman"/>
                <w:sz w:val="28"/>
                <w:szCs w:val="28"/>
              </w:rPr>
            </w:pPr>
          </w:p>
          <w:p w:rsidR="007C189E" w:rsidRPr="009C63D0" w:rsidRDefault="007C189E" w:rsidP="0056081C">
            <w:pPr>
              <w:jc w:val="center"/>
              <w:rPr>
                <w:rFonts w:ascii="Times New Roman" w:eastAsia="Times New Roman" w:hAnsi="Times New Roman" w:cs="Times New Roman"/>
                <w:sz w:val="12"/>
                <w:szCs w:val="12"/>
              </w:rPr>
            </w:pPr>
          </w:p>
        </w:tc>
      </w:tr>
      <w:tr w:rsidR="007C189E" w:rsidTr="0056081C">
        <w:tc>
          <w:tcPr>
            <w:tcW w:w="9889" w:type="dxa"/>
            <w:gridSpan w:val="5"/>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        Вимога</w:t>
            </w:r>
            <w:r>
              <w:rPr>
                <w:rFonts w:ascii="Times New Roman" w:hAnsi="Times New Roman" w:cs="Times New Roman"/>
                <w:sz w:val="28"/>
                <w:szCs w:val="28"/>
              </w:rPr>
              <w:tab/>
              <w:t xml:space="preserve">                                        Компоненти вимоги</w:t>
            </w:r>
          </w:p>
          <w:p w:rsidR="007C189E" w:rsidRPr="009C63D0" w:rsidRDefault="007C189E" w:rsidP="0056081C">
            <w:pPr>
              <w:rPr>
                <w:rFonts w:ascii="Times New Roman" w:eastAsia="Times New Roman" w:hAnsi="Times New Roman" w:cs="Times New Roman"/>
                <w:sz w:val="12"/>
                <w:szCs w:val="12"/>
              </w:rPr>
            </w:pPr>
          </w:p>
        </w:tc>
      </w:tr>
      <w:tr w:rsidR="007C189E" w:rsidRPr="00C4591D" w:rsidTr="0056081C">
        <w:trPr>
          <w:gridAfter w:val="1"/>
          <w:wAfter w:w="142" w:type="dxa"/>
        </w:trPr>
        <w:tc>
          <w:tcPr>
            <w:tcW w:w="534" w:type="dxa"/>
            <w:hideMark/>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Доброчесність</w:t>
            </w:r>
          </w:p>
        </w:tc>
        <w:tc>
          <w:tcPr>
            <w:tcW w:w="6520" w:type="dxa"/>
            <w:hideMark/>
          </w:tcPr>
          <w:p w:rsidR="007C189E" w:rsidRDefault="007C189E" w:rsidP="0056081C">
            <w:pPr>
              <w:widowControl w:val="0"/>
              <w:tabs>
                <w:tab w:val="left" w:pos="572"/>
              </w:tabs>
              <w:ind w:left="-108"/>
              <w:jc w:val="both"/>
              <w:rPr>
                <w:rFonts w:ascii="Times New Roman" w:hAnsi="Times New Roman" w:cs="Times New Roman"/>
                <w:sz w:val="28"/>
                <w:szCs w:val="28"/>
              </w:rPr>
            </w:pPr>
            <w:r>
              <w:rPr>
                <w:rFonts w:ascii="Times New Roman" w:hAnsi="Times New Roman" w:cs="Times New Roman"/>
                <w:sz w:val="28"/>
                <w:szCs w:val="28"/>
              </w:rPr>
              <w:t>здатність спрямовувати власні дії на захист публічних інтересів, утримуватися від конфлікту між приватними та публічними інтересами, ефективно розпоряджатися державними ресурсами;</w:t>
            </w:r>
          </w:p>
          <w:p w:rsidR="007C189E" w:rsidRDefault="007C189E" w:rsidP="0056081C">
            <w:pPr>
              <w:widowControl w:val="0"/>
              <w:tabs>
                <w:tab w:val="left" w:pos="572"/>
              </w:tabs>
              <w:ind w:left="-108"/>
              <w:jc w:val="both"/>
              <w:rPr>
                <w:rFonts w:ascii="Times New Roman" w:hAnsi="Times New Roman" w:cs="Times New Roman"/>
                <w:sz w:val="28"/>
                <w:szCs w:val="28"/>
              </w:rPr>
            </w:pPr>
            <w:r>
              <w:rPr>
                <w:rFonts w:ascii="Times New Roman" w:hAnsi="Times New Roman" w:cs="Times New Roman"/>
                <w:sz w:val="28"/>
                <w:szCs w:val="28"/>
              </w:rPr>
              <w:t>здатність дотримуватися правил етичної поведінки, порядності, чесності, справедливості, підзвітності;</w:t>
            </w:r>
          </w:p>
          <w:p w:rsidR="007C189E" w:rsidRDefault="007C189E" w:rsidP="0056081C">
            <w:pPr>
              <w:ind w:left="-108"/>
              <w:jc w:val="both"/>
              <w:rPr>
                <w:rFonts w:ascii="Times New Roman" w:hAnsi="Times New Roman" w:cs="Times New Roman"/>
                <w:sz w:val="28"/>
                <w:szCs w:val="28"/>
              </w:rPr>
            </w:pPr>
            <w:r>
              <w:rPr>
                <w:rFonts w:ascii="Times New Roman" w:hAnsi="Times New Roman" w:cs="Times New Roman"/>
                <w:sz w:val="28"/>
                <w:szCs w:val="28"/>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p w:rsidR="007C189E" w:rsidRDefault="007C189E" w:rsidP="0056081C">
            <w:pPr>
              <w:ind w:left="-108"/>
              <w:jc w:val="both"/>
              <w:rPr>
                <w:rFonts w:ascii="Times New Roman" w:hAnsi="Times New Roman" w:cs="Times New Roman"/>
                <w:sz w:val="28"/>
                <w:szCs w:val="28"/>
              </w:rPr>
            </w:pPr>
          </w:p>
        </w:tc>
      </w:tr>
      <w:tr w:rsidR="007C189E" w:rsidTr="0056081C">
        <w:tc>
          <w:tcPr>
            <w:tcW w:w="534" w:type="dxa"/>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eastAsia="Times New Roman" w:hAnsi="Times New Roman" w:cs="Times New Roman"/>
                <w:sz w:val="28"/>
                <w:szCs w:val="28"/>
              </w:rPr>
            </w:pP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Досягнення результатів</w:t>
            </w:r>
          </w:p>
        </w:tc>
        <w:tc>
          <w:tcPr>
            <w:tcW w:w="6662" w:type="dxa"/>
            <w:gridSpan w:val="2"/>
            <w:hideMark/>
          </w:tcPr>
          <w:p w:rsidR="007C189E" w:rsidRDefault="007C189E" w:rsidP="0056081C">
            <w:pPr>
              <w:widowControl w:val="0"/>
              <w:tabs>
                <w:tab w:val="left" w:pos="463"/>
                <w:tab w:val="left" w:pos="1825"/>
                <w:tab w:val="left" w:pos="2369"/>
                <w:tab w:val="left" w:pos="3503"/>
                <w:tab w:val="left" w:pos="4725"/>
              </w:tabs>
              <w:ind w:left="-108" w:right="34"/>
              <w:jc w:val="both"/>
              <w:rPr>
                <w:rFonts w:ascii="Times New Roman" w:hAnsi="Times New Roman" w:cs="Times New Roman"/>
                <w:sz w:val="28"/>
                <w:szCs w:val="28"/>
              </w:rPr>
            </w:pPr>
            <w:r>
              <w:rPr>
                <w:rFonts w:ascii="Times New Roman" w:hAnsi="Times New Roman" w:cs="Times New Roman"/>
                <w:sz w:val="28"/>
                <w:szCs w:val="28"/>
              </w:rPr>
              <w:t>здатність до чіткого бачення результату діяльності вміння фокусувати зусилля для досягнення результату діяльності;</w:t>
            </w:r>
          </w:p>
          <w:p w:rsidR="007C189E" w:rsidRDefault="007C189E" w:rsidP="0056081C">
            <w:pPr>
              <w:pStyle w:val="1"/>
              <w:spacing w:after="0"/>
              <w:ind w:left="-108" w:right="34"/>
              <w:jc w:val="both"/>
              <w:rPr>
                <w:sz w:val="28"/>
                <w:szCs w:val="28"/>
                <w:lang w:val="uk-UA" w:eastAsia="en-US"/>
              </w:rPr>
            </w:pPr>
            <w:r>
              <w:rPr>
                <w:sz w:val="28"/>
                <w:szCs w:val="28"/>
                <w:lang w:val="uk-UA" w:eastAsia="en-US"/>
              </w:rPr>
              <w:t>вміння запобігати та ефективно долати перешкоди</w:t>
            </w:r>
          </w:p>
        </w:tc>
      </w:tr>
      <w:tr w:rsidR="007C189E" w:rsidTr="0056081C">
        <w:tc>
          <w:tcPr>
            <w:tcW w:w="534" w:type="dxa"/>
            <w:hideMark/>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Аналітичні здібності </w:t>
            </w:r>
          </w:p>
        </w:tc>
        <w:tc>
          <w:tcPr>
            <w:tcW w:w="6662" w:type="dxa"/>
            <w:gridSpan w:val="2"/>
            <w:hideMark/>
          </w:tcPr>
          <w:p w:rsidR="007C189E" w:rsidRDefault="007C189E" w:rsidP="0056081C">
            <w:pPr>
              <w:widowControl w:val="0"/>
              <w:tabs>
                <w:tab w:val="left" w:pos="-392"/>
                <w:tab w:val="left" w:pos="6412"/>
              </w:tabs>
              <w:ind w:left="-108" w:right="34"/>
              <w:jc w:val="both"/>
              <w:rPr>
                <w:rFonts w:ascii="Times New Roman" w:hAnsi="Times New Roman" w:cs="Times New Roman"/>
                <w:sz w:val="28"/>
                <w:szCs w:val="28"/>
              </w:rPr>
            </w:pPr>
            <w:r>
              <w:rPr>
                <w:rFonts w:ascii="Times New Roman" w:hAnsi="Times New Roman" w:cs="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7C189E" w:rsidRPr="00564AC7" w:rsidRDefault="007C189E" w:rsidP="0056081C">
            <w:pPr>
              <w:widowControl w:val="0"/>
              <w:tabs>
                <w:tab w:val="left" w:pos="-392"/>
                <w:tab w:val="left" w:pos="431"/>
                <w:tab w:val="left" w:pos="1476"/>
                <w:tab w:val="left" w:pos="3509"/>
              </w:tabs>
              <w:ind w:left="-108" w:right="34"/>
              <w:jc w:val="both"/>
              <w:rPr>
                <w:rFonts w:ascii="Times New Roman" w:hAnsi="Times New Roman" w:cs="Times New Roman"/>
                <w:sz w:val="28"/>
                <w:szCs w:val="28"/>
              </w:rPr>
            </w:pPr>
            <w:r w:rsidRPr="00564AC7">
              <w:rPr>
                <w:rFonts w:ascii="Times New Roman" w:hAnsi="Times New Roman" w:cs="Times New Roman"/>
                <w:sz w:val="28"/>
                <w:szCs w:val="28"/>
              </w:rPr>
              <w:t>вміння встановлювати причинно-наслідкові зв’язки вміння аналізувати інформацію та робити висновки, критично оцінювати ситуації, прогнозувати та робити власні умовиводи</w:t>
            </w:r>
          </w:p>
          <w:p w:rsidR="007C189E" w:rsidRDefault="007C189E" w:rsidP="0056081C">
            <w:pPr>
              <w:widowControl w:val="0"/>
              <w:tabs>
                <w:tab w:val="left" w:pos="-392"/>
                <w:tab w:val="left" w:pos="431"/>
                <w:tab w:val="left" w:pos="1476"/>
                <w:tab w:val="left" w:pos="3509"/>
              </w:tabs>
              <w:ind w:left="-108" w:right="272"/>
              <w:jc w:val="both"/>
              <w:rPr>
                <w:sz w:val="28"/>
                <w:szCs w:val="28"/>
              </w:rPr>
            </w:pPr>
          </w:p>
        </w:tc>
      </w:tr>
      <w:tr w:rsidR="007C189E" w:rsidTr="0056081C">
        <w:tc>
          <w:tcPr>
            <w:tcW w:w="534" w:type="dxa"/>
            <w:hideMark/>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 xml:space="preserve">Комунікація та взаємодія </w:t>
            </w:r>
          </w:p>
        </w:tc>
        <w:tc>
          <w:tcPr>
            <w:tcW w:w="6662" w:type="dxa"/>
            <w:gridSpan w:val="2"/>
            <w:hideMark/>
          </w:tcPr>
          <w:p w:rsidR="007C189E" w:rsidRDefault="007C189E" w:rsidP="0056081C">
            <w:pPr>
              <w:widowControl w:val="0"/>
              <w:tabs>
                <w:tab w:val="left" w:pos="-392"/>
                <w:tab w:val="left" w:pos="-108"/>
              </w:tabs>
              <w:ind w:left="-108" w:right="34"/>
              <w:jc w:val="both"/>
              <w:rPr>
                <w:rFonts w:ascii="Times New Roman" w:hAnsi="Times New Roman" w:cs="Times New Roman"/>
                <w:sz w:val="28"/>
                <w:szCs w:val="28"/>
              </w:rPr>
            </w:pPr>
            <w:r>
              <w:rPr>
                <w:rFonts w:ascii="Times New Roman" w:hAnsi="Times New Roman" w:cs="Times New Roman"/>
                <w:sz w:val="28"/>
                <w:szCs w:val="28"/>
              </w:rPr>
              <w:t>вміння визначати заінтересовані і впливові сторони та розбудовувати партнерські відносини;</w:t>
            </w:r>
          </w:p>
          <w:p w:rsidR="007C189E" w:rsidRDefault="007C189E" w:rsidP="0056081C">
            <w:pPr>
              <w:widowControl w:val="0"/>
              <w:tabs>
                <w:tab w:val="left" w:pos="-392"/>
                <w:tab w:val="left" w:pos="-108"/>
              </w:tabs>
              <w:ind w:left="-108" w:right="34"/>
              <w:jc w:val="both"/>
              <w:rPr>
                <w:rFonts w:ascii="Times New Roman" w:hAnsi="Times New Roman" w:cs="Times New Roman"/>
                <w:sz w:val="28"/>
                <w:szCs w:val="28"/>
              </w:rPr>
            </w:pPr>
            <w:r>
              <w:rPr>
                <w:rFonts w:ascii="Times New Roman" w:hAnsi="Times New Roman" w:cs="Times New Roman"/>
                <w:sz w:val="28"/>
                <w:szCs w:val="28"/>
              </w:rPr>
              <w:t>здатність ефективно взаємодіяти – дослухатися, сприймати та викладати думку;</w:t>
            </w:r>
          </w:p>
          <w:p w:rsidR="007C189E" w:rsidRDefault="007C189E" w:rsidP="0056081C">
            <w:pPr>
              <w:widowControl w:val="0"/>
              <w:tabs>
                <w:tab w:val="left" w:pos="-392"/>
                <w:tab w:val="left" w:pos="-108"/>
              </w:tabs>
              <w:ind w:left="-108" w:right="34"/>
              <w:jc w:val="both"/>
              <w:rPr>
                <w:rFonts w:ascii="Times New Roman" w:hAnsi="Times New Roman" w:cs="Times New Roman"/>
                <w:sz w:val="28"/>
                <w:szCs w:val="28"/>
              </w:rPr>
            </w:pPr>
            <w:r>
              <w:rPr>
                <w:rFonts w:ascii="Times New Roman" w:hAnsi="Times New Roman" w:cs="Times New Roman"/>
                <w:sz w:val="28"/>
                <w:szCs w:val="28"/>
              </w:rPr>
              <w:t>вміння публічно виступати перед аудиторією;</w:t>
            </w:r>
          </w:p>
          <w:p w:rsidR="007C189E" w:rsidRDefault="007C189E" w:rsidP="0056081C">
            <w:pPr>
              <w:pStyle w:val="1"/>
              <w:tabs>
                <w:tab w:val="left" w:pos="-392"/>
                <w:tab w:val="left" w:pos="-108"/>
              </w:tabs>
              <w:spacing w:after="0"/>
              <w:ind w:left="-108" w:right="34"/>
              <w:jc w:val="both"/>
              <w:rPr>
                <w:sz w:val="28"/>
                <w:szCs w:val="28"/>
                <w:lang w:val="uk-UA" w:eastAsia="en-US"/>
              </w:rPr>
            </w:pPr>
            <w:r>
              <w:rPr>
                <w:sz w:val="28"/>
                <w:szCs w:val="28"/>
                <w:lang w:val="uk-UA" w:eastAsia="en-US"/>
              </w:rPr>
              <w:t>здатність переконувати інших за допомогою аргументів та послідовної комунікації</w:t>
            </w:r>
          </w:p>
        </w:tc>
      </w:tr>
      <w:tr w:rsidR="007C189E" w:rsidTr="0056081C">
        <w:tc>
          <w:tcPr>
            <w:tcW w:w="9889" w:type="dxa"/>
            <w:gridSpan w:val="5"/>
          </w:tcPr>
          <w:p w:rsidR="007C189E" w:rsidRDefault="007C189E" w:rsidP="0056081C">
            <w:pPr>
              <w:tabs>
                <w:tab w:val="left" w:pos="432"/>
                <w:tab w:val="left" w:pos="3660"/>
                <w:tab w:val="center" w:pos="4836"/>
              </w:tabs>
              <w:jc w:val="center"/>
              <w:rPr>
                <w:rFonts w:ascii="Times New Roman" w:eastAsia="Times New Roman" w:hAnsi="Times New Roman" w:cs="Times New Roman"/>
                <w:sz w:val="16"/>
                <w:szCs w:val="16"/>
                <w:shd w:val="clear" w:color="auto" w:fill="FFFFFF"/>
              </w:rPr>
            </w:pPr>
          </w:p>
          <w:p w:rsidR="007C189E" w:rsidRDefault="007C189E" w:rsidP="0056081C">
            <w:pPr>
              <w:tabs>
                <w:tab w:val="left" w:pos="432"/>
                <w:tab w:val="left" w:pos="3660"/>
                <w:tab w:val="center" w:pos="4836"/>
              </w:tabs>
              <w:jc w:val="center"/>
              <w:rPr>
                <w:rFonts w:ascii="Times New Roman" w:hAnsi="Times New Roman" w:cs="Times New Roman"/>
                <w:sz w:val="28"/>
                <w:szCs w:val="28"/>
                <w:shd w:val="clear" w:color="auto" w:fill="FFFFFF"/>
              </w:rPr>
            </w:pPr>
          </w:p>
          <w:p w:rsidR="007C189E" w:rsidRDefault="007C189E" w:rsidP="0056081C">
            <w:pPr>
              <w:tabs>
                <w:tab w:val="left" w:pos="432"/>
                <w:tab w:val="left" w:pos="3660"/>
                <w:tab w:val="center" w:pos="4836"/>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7C189E" w:rsidRPr="009C63D0" w:rsidRDefault="007C189E" w:rsidP="0056081C">
            <w:pPr>
              <w:tabs>
                <w:tab w:val="left" w:pos="432"/>
              </w:tabs>
              <w:jc w:val="center"/>
              <w:rPr>
                <w:rFonts w:ascii="Times New Roman" w:eastAsia="Times New Roman" w:hAnsi="Times New Roman" w:cs="Times New Roman"/>
                <w:sz w:val="12"/>
                <w:szCs w:val="12"/>
                <w:shd w:val="clear" w:color="auto" w:fill="FFFFFF"/>
              </w:rPr>
            </w:pPr>
          </w:p>
        </w:tc>
      </w:tr>
      <w:tr w:rsidR="007C189E" w:rsidTr="0056081C">
        <w:tc>
          <w:tcPr>
            <w:tcW w:w="534" w:type="dxa"/>
          </w:tcPr>
          <w:p w:rsidR="007C189E" w:rsidRDefault="007C189E" w:rsidP="0056081C">
            <w:pPr>
              <w:jc w:val="center"/>
              <w:rPr>
                <w:rFonts w:ascii="Times New Roman" w:eastAsia="Times New Roman" w:hAnsi="Times New Roman" w:cs="Times New Roman"/>
                <w:sz w:val="28"/>
                <w:szCs w:val="28"/>
              </w:rPr>
            </w:pP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662" w:type="dxa"/>
            <w:gridSpan w:val="2"/>
            <w:hideMark/>
          </w:tcPr>
          <w:p w:rsidR="007C189E" w:rsidRDefault="007C189E" w:rsidP="0056081C">
            <w:pPr>
              <w:tabs>
                <w:tab w:val="left" w:pos="432"/>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7C189E" w:rsidRDefault="007C189E" w:rsidP="0056081C">
            <w:pPr>
              <w:tabs>
                <w:tab w:val="left" w:pos="432"/>
                <w:tab w:val="left" w:pos="2565"/>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7C189E" w:rsidTr="0056081C">
        <w:tc>
          <w:tcPr>
            <w:tcW w:w="534" w:type="dxa"/>
            <w:hideMark/>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693" w:type="dxa"/>
            <w:gridSpan w:val="2"/>
            <w:hideMark/>
          </w:tcPr>
          <w:p w:rsidR="007C189E" w:rsidRDefault="007C189E" w:rsidP="0056081C">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662" w:type="dxa"/>
            <w:gridSpan w:val="2"/>
            <w:hideMark/>
          </w:tcPr>
          <w:p w:rsidR="007C189E" w:rsidRDefault="007C189E" w:rsidP="0056081C">
            <w:pPr>
              <w:ind w:left="-108"/>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7C189E" w:rsidRDefault="007C189E" w:rsidP="0056081C">
            <w:pPr>
              <w:ind w:left="-108"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7C189E" w:rsidRDefault="007C189E" w:rsidP="0056081C">
            <w:pPr>
              <w:ind w:left="-108" w:firstLine="34"/>
              <w:jc w:val="both"/>
              <w:rPr>
                <w:rFonts w:ascii="Times New Roman" w:hAnsi="Times New Roman" w:cs="Times New Roman"/>
                <w:sz w:val="28"/>
                <w:szCs w:val="28"/>
              </w:rPr>
            </w:pPr>
            <w:r>
              <w:rPr>
                <w:rFonts w:ascii="Times New Roman" w:hAnsi="Times New Roman" w:cs="Times New Roman"/>
                <w:sz w:val="28"/>
                <w:szCs w:val="28"/>
              </w:rPr>
              <w:t xml:space="preserve">Закону України «Про державну службу»; </w:t>
            </w:r>
          </w:p>
          <w:p w:rsidR="007C189E" w:rsidRDefault="007C189E" w:rsidP="0056081C">
            <w:pPr>
              <w:ind w:left="-108"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запобігання корупції» та іншого законодавства</w:t>
            </w:r>
          </w:p>
          <w:p w:rsidR="007C189E" w:rsidRDefault="007C189E" w:rsidP="0056081C">
            <w:pPr>
              <w:ind w:left="-108" w:firstLine="34"/>
              <w:jc w:val="both"/>
              <w:rPr>
                <w:rFonts w:ascii="Times New Roman" w:hAnsi="Times New Roman" w:cs="Times New Roman"/>
                <w:sz w:val="28"/>
                <w:szCs w:val="28"/>
              </w:rPr>
            </w:pPr>
          </w:p>
        </w:tc>
      </w:tr>
      <w:tr w:rsidR="007C189E" w:rsidTr="0056081C">
        <w:trPr>
          <w:trHeight w:val="1135"/>
        </w:trPr>
        <w:tc>
          <w:tcPr>
            <w:tcW w:w="534" w:type="dxa"/>
          </w:tcPr>
          <w:p w:rsidR="007C189E" w:rsidRDefault="007C189E" w:rsidP="0056081C">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hAnsi="Times New Roman" w:cs="Times New Roman"/>
                <w:sz w:val="28"/>
                <w:szCs w:val="28"/>
              </w:rPr>
            </w:pPr>
          </w:p>
          <w:p w:rsidR="007C189E" w:rsidRDefault="007C189E" w:rsidP="0056081C">
            <w:pPr>
              <w:jc w:val="center"/>
              <w:rPr>
                <w:rFonts w:ascii="Times New Roman" w:eastAsia="Times New Roman" w:hAnsi="Times New Roman" w:cs="Times New Roman"/>
                <w:sz w:val="28"/>
                <w:szCs w:val="28"/>
              </w:rPr>
            </w:pPr>
          </w:p>
        </w:tc>
        <w:tc>
          <w:tcPr>
            <w:tcW w:w="2693" w:type="dxa"/>
            <w:gridSpan w:val="2"/>
            <w:hideMark/>
          </w:tcPr>
          <w:p w:rsidR="007C189E" w:rsidRDefault="007C189E" w:rsidP="0056081C">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Знання законодавства у сфері</w:t>
            </w:r>
          </w:p>
        </w:tc>
        <w:tc>
          <w:tcPr>
            <w:tcW w:w="6662" w:type="dxa"/>
            <w:gridSpan w:val="2"/>
            <w:hideMark/>
          </w:tcPr>
          <w:p w:rsidR="007C189E" w:rsidRDefault="007C189E" w:rsidP="0056081C">
            <w:pPr>
              <w:ind w:left="-108"/>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7C189E" w:rsidRDefault="007C189E" w:rsidP="0056081C">
            <w:pPr>
              <w:shd w:val="clear" w:color="auto" w:fill="FFFFFF"/>
              <w:ind w:left="-108"/>
              <w:jc w:val="both"/>
              <w:rPr>
                <w:rFonts w:ascii="Times New Roman" w:hAnsi="Times New Roman" w:cs="Times New Roman"/>
                <w:sz w:val="28"/>
                <w:szCs w:val="28"/>
              </w:rPr>
            </w:pPr>
            <w:r>
              <w:rPr>
                <w:rFonts w:ascii="Times New Roman" w:hAnsi="Times New Roman" w:cs="Times New Roman"/>
                <w:sz w:val="28"/>
                <w:szCs w:val="28"/>
              </w:rPr>
              <w:t>Закону України «Про інформацію»;</w:t>
            </w:r>
          </w:p>
          <w:p w:rsidR="007C189E" w:rsidRDefault="007C189E" w:rsidP="0056081C">
            <w:pPr>
              <w:shd w:val="clear" w:color="auto" w:fill="FFFFFF"/>
              <w:ind w:left="-108"/>
              <w:jc w:val="both"/>
              <w:rPr>
                <w:rFonts w:ascii="Times New Roman" w:eastAsia="Arial" w:hAnsi="Times New Roman" w:cs="Times New Roman"/>
                <w:sz w:val="28"/>
                <w:szCs w:val="28"/>
              </w:rPr>
            </w:pPr>
            <w:r>
              <w:rPr>
                <w:rFonts w:ascii="Times New Roman" w:hAnsi="Times New Roman" w:cs="Times New Roman"/>
                <w:sz w:val="28"/>
                <w:szCs w:val="28"/>
              </w:rPr>
              <w:t xml:space="preserve">Закону України «Про доступ до публічної інформації»; </w:t>
            </w:r>
          </w:p>
          <w:p w:rsidR="007C189E" w:rsidRDefault="007C189E" w:rsidP="0056081C">
            <w:pPr>
              <w:tabs>
                <w:tab w:val="left" w:pos="412"/>
              </w:tabs>
              <w:spacing w:after="20"/>
              <w:ind w:left="-108" w:right="125"/>
              <w:jc w:val="both"/>
              <w:rPr>
                <w:rFonts w:ascii="Times New Roman" w:hAnsi="Times New Roman" w:cs="Times New Roman"/>
                <w:sz w:val="28"/>
                <w:szCs w:val="28"/>
              </w:rPr>
            </w:pPr>
            <w:r>
              <w:rPr>
                <w:rFonts w:ascii="Times New Roman" w:hAnsi="Times New Roman" w:cs="Times New Roman"/>
                <w:sz w:val="28"/>
                <w:szCs w:val="28"/>
              </w:rPr>
              <w:lastRenderedPageBreak/>
              <w:t>Закону України «Про звернення громадян»,</w:t>
            </w:r>
          </w:p>
          <w:p w:rsidR="007C189E" w:rsidRDefault="007C189E" w:rsidP="0056081C">
            <w:pPr>
              <w:tabs>
                <w:tab w:val="left" w:pos="412"/>
              </w:tabs>
              <w:spacing w:after="20"/>
              <w:ind w:left="-108" w:right="252"/>
              <w:jc w:val="both"/>
              <w:rPr>
                <w:rFonts w:ascii="Times New Roman" w:hAnsi="Times New Roman" w:cs="Times New Roman"/>
                <w:sz w:val="28"/>
                <w:szCs w:val="28"/>
              </w:rPr>
            </w:pPr>
            <w:r>
              <w:rPr>
                <w:rFonts w:ascii="Times New Roman" w:hAnsi="Times New Roman" w:cs="Times New Roman"/>
                <w:sz w:val="28"/>
                <w:szCs w:val="28"/>
              </w:rPr>
              <w:t>постанови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7C189E" w:rsidRDefault="007C189E" w:rsidP="0056081C">
            <w:pPr>
              <w:ind w:left="-108"/>
              <w:jc w:val="both"/>
              <w:rPr>
                <w:rFonts w:ascii="Times New Roman" w:eastAsia="Times New Roman" w:hAnsi="Times New Roman" w:cs="Times New Roman"/>
                <w:sz w:val="28"/>
                <w:szCs w:val="28"/>
              </w:rPr>
            </w:pPr>
            <w:r>
              <w:rPr>
                <w:rFonts w:ascii="Times New Roman" w:hAnsi="Times New Roman" w:cs="Times New Roman"/>
                <w:sz w:val="28"/>
                <w:szCs w:val="28"/>
              </w:rPr>
              <w:t>наказу Національного агентства з питань запобігання корупції від 17 березня 2020 року № 102/20 «Про затвердження Типового положення про уповноважений підрозділ (уповноважену особу) з питань запобігання та виявлення корупції»</w:t>
            </w:r>
          </w:p>
        </w:tc>
      </w:tr>
    </w:tbl>
    <w:p w:rsidR="007C189E" w:rsidRDefault="007C189E" w:rsidP="007C189E">
      <w:pPr>
        <w:rPr>
          <w:rFonts w:ascii="Times New Roman" w:hAnsi="Times New Roman" w:cs="Times New Roman"/>
          <w:sz w:val="28"/>
          <w:szCs w:val="28"/>
        </w:rPr>
      </w:pPr>
    </w:p>
    <w:p w:rsidR="007C189E" w:rsidRDefault="007C189E" w:rsidP="007C189E">
      <w:pPr>
        <w:rPr>
          <w:rFonts w:ascii="Times New Roman" w:hAnsi="Times New Roman" w:cs="Times New Roman"/>
          <w:sz w:val="28"/>
          <w:szCs w:val="28"/>
        </w:rPr>
      </w:pPr>
    </w:p>
    <w:p w:rsidR="007C189E" w:rsidRDefault="007C189E" w:rsidP="007C189E">
      <w:pPr>
        <w:rPr>
          <w:rFonts w:ascii="Times New Roman" w:hAnsi="Times New Roman" w:cs="Times New Roman"/>
          <w:sz w:val="28"/>
          <w:szCs w:val="28"/>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C189E" w:rsidRDefault="007C189E" w:rsidP="007C189E">
      <w:pPr>
        <w:spacing w:after="0" w:line="240" w:lineRule="auto"/>
        <w:ind w:left="4678" w:firstLine="567"/>
        <w:rPr>
          <w:rFonts w:ascii="Times New Roman" w:hAnsi="Times New Roman" w:cs="Times New Roman"/>
          <w:color w:val="000000"/>
          <w:sz w:val="28"/>
          <w:szCs w:val="28"/>
        </w:rPr>
      </w:pPr>
    </w:p>
    <w:p w:rsidR="00770794" w:rsidRDefault="00D72097"/>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9E"/>
    <w:rsid w:val="0000033B"/>
    <w:rsid w:val="0000168E"/>
    <w:rsid w:val="00001F70"/>
    <w:rsid w:val="0000253F"/>
    <w:rsid w:val="00004B55"/>
    <w:rsid w:val="00005B8D"/>
    <w:rsid w:val="000060D0"/>
    <w:rsid w:val="000060E8"/>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1C12"/>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05A"/>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60B"/>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540"/>
    <w:rsid w:val="00216E49"/>
    <w:rsid w:val="0021745E"/>
    <w:rsid w:val="002174AA"/>
    <w:rsid w:val="002222D0"/>
    <w:rsid w:val="002232C8"/>
    <w:rsid w:val="0022340F"/>
    <w:rsid w:val="002239A2"/>
    <w:rsid w:val="00225EAA"/>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052"/>
    <w:rsid w:val="002775B3"/>
    <w:rsid w:val="002775D8"/>
    <w:rsid w:val="002807A3"/>
    <w:rsid w:val="002807B5"/>
    <w:rsid w:val="002809F0"/>
    <w:rsid w:val="002816BD"/>
    <w:rsid w:val="00281CC3"/>
    <w:rsid w:val="00281E01"/>
    <w:rsid w:val="00281F05"/>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1140"/>
    <w:rsid w:val="00291C93"/>
    <w:rsid w:val="00291E18"/>
    <w:rsid w:val="0029205E"/>
    <w:rsid w:val="002924CE"/>
    <w:rsid w:val="002926B1"/>
    <w:rsid w:val="002930DC"/>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99"/>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4834"/>
    <w:rsid w:val="0038538E"/>
    <w:rsid w:val="0038554D"/>
    <w:rsid w:val="00387523"/>
    <w:rsid w:val="00387B0C"/>
    <w:rsid w:val="00387E08"/>
    <w:rsid w:val="00390558"/>
    <w:rsid w:val="0039144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C15"/>
    <w:rsid w:val="003B0E1E"/>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17D99"/>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4A9B"/>
    <w:rsid w:val="0047527F"/>
    <w:rsid w:val="00475B77"/>
    <w:rsid w:val="00475CED"/>
    <w:rsid w:val="0047606B"/>
    <w:rsid w:val="00477C9D"/>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119"/>
    <w:rsid w:val="004D25AC"/>
    <w:rsid w:val="004D282B"/>
    <w:rsid w:val="004D41F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A2A25"/>
    <w:rsid w:val="005A349F"/>
    <w:rsid w:val="005A46E1"/>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AB"/>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4CB6"/>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3371"/>
    <w:rsid w:val="007433E8"/>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189E"/>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ABC"/>
    <w:rsid w:val="00854E63"/>
    <w:rsid w:val="00854F15"/>
    <w:rsid w:val="00854F81"/>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21F3"/>
    <w:rsid w:val="008E2403"/>
    <w:rsid w:val="008E28DE"/>
    <w:rsid w:val="008E29D9"/>
    <w:rsid w:val="008E2ADB"/>
    <w:rsid w:val="008E2B9B"/>
    <w:rsid w:val="008E34BB"/>
    <w:rsid w:val="008E4590"/>
    <w:rsid w:val="008E70C8"/>
    <w:rsid w:val="008E7329"/>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13E"/>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49C"/>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84C"/>
    <w:rsid w:val="00A42E24"/>
    <w:rsid w:val="00A4449D"/>
    <w:rsid w:val="00A4546A"/>
    <w:rsid w:val="00A46D6D"/>
    <w:rsid w:val="00A46F93"/>
    <w:rsid w:val="00A51181"/>
    <w:rsid w:val="00A53384"/>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B04E2"/>
    <w:rsid w:val="00AB1166"/>
    <w:rsid w:val="00AB1C06"/>
    <w:rsid w:val="00AB30C4"/>
    <w:rsid w:val="00AB37BA"/>
    <w:rsid w:val="00AB3DC3"/>
    <w:rsid w:val="00AB64F3"/>
    <w:rsid w:val="00AB6B38"/>
    <w:rsid w:val="00AB748D"/>
    <w:rsid w:val="00AC07F3"/>
    <w:rsid w:val="00AC0B92"/>
    <w:rsid w:val="00AC113D"/>
    <w:rsid w:val="00AC11B9"/>
    <w:rsid w:val="00AC15EB"/>
    <w:rsid w:val="00AC2483"/>
    <w:rsid w:val="00AC2A55"/>
    <w:rsid w:val="00AC4970"/>
    <w:rsid w:val="00AC4A7D"/>
    <w:rsid w:val="00AC5097"/>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0F9A"/>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01D1"/>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F32"/>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3FCF"/>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8E"/>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526"/>
    <w:rsid w:val="00D64703"/>
    <w:rsid w:val="00D6510D"/>
    <w:rsid w:val="00D65707"/>
    <w:rsid w:val="00D67377"/>
    <w:rsid w:val="00D67C49"/>
    <w:rsid w:val="00D72097"/>
    <w:rsid w:val="00D73CB2"/>
    <w:rsid w:val="00D74BB3"/>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01A"/>
    <w:rsid w:val="00D87597"/>
    <w:rsid w:val="00D90B79"/>
    <w:rsid w:val="00D91191"/>
    <w:rsid w:val="00D92E05"/>
    <w:rsid w:val="00D92EB2"/>
    <w:rsid w:val="00D92F82"/>
    <w:rsid w:val="00D93105"/>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7567"/>
    <w:rsid w:val="00DD78D2"/>
    <w:rsid w:val="00DE2A46"/>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056D"/>
    <w:rsid w:val="00E01093"/>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0161"/>
    <w:rsid w:val="00E7174E"/>
    <w:rsid w:val="00E71FB3"/>
    <w:rsid w:val="00E74245"/>
    <w:rsid w:val="00E7451F"/>
    <w:rsid w:val="00E74E10"/>
    <w:rsid w:val="00E75AC9"/>
    <w:rsid w:val="00E75BA8"/>
    <w:rsid w:val="00E76BB6"/>
    <w:rsid w:val="00E76CB1"/>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23E"/>
    <w:rsid w:val="00EB48A4"/>
    <w:rsid w:val="00EB4A88"/>
    <w:rsid w:val="00EB512C"/>
    <w:rsid w:val="00EB54BB"/>
    <w:rsid w:val="00EB6FC1"/>
    <w:rsid w:val="00EB722E"/>
    <w:rsid w:val="00EB74E1"/>
    <w:rsid w:val="00EC0881"/>
    <w:rsid w:val="00EC11B3"/>
    <w:rsid w:val="00EC14ED"/>
    <w:rsid w:val="00EC198D"/>
    <w:rsid w:val="00EC2503"/>
    <w:rsid w:val="00EC44EC"/>
    <w:rsid w:val="00EC57B4"/>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1E7F"/>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423"/>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275"/>
    <w:rsid w:val="00FF693A"/>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9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89E"/>
    <w:rPr>
      <w:color w:val="0000FF"/>
      <w:u w:val="single"/>
    </w:rPr>
  </w:style>
  <w:style w:type="paragraph" w:styleId="a4">
    <w:name w:val="Body Text"/>
    <w:basedOn w:val="a"/>
    <w:link w:val="a5"/>
    <w:uiPriority w:val="99"/>
    <w:unhideWhenUsed/>
    <w:rsid w:val="007C189E"/>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7C189E"/>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7C18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7C189E"/>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7C189E"/>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9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89E"/>
    <w:rPr>
      <w:color w:val="0000FF"/>
      <w:u w:val="single"/>
    </w:rPr>
  </w:style>
  <w:style w:type="paragraph" w:styleId="a4">
    <w:name w:val="Body Text"/>
    <w:basedOn w:val="a"/>
    <w:link w:val="a5"/>
    <w:uiPriority w:val="99"/>
    <w:unhideWhenUsed/>
    <w:rsid w:val="007C189E"/>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7C189E"/>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7C18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7C189E"/>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7C189E"/>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2021-07-02T11:40:00Z</dcterms:created>
  <dcterms:modified xsi:type="dcterms:W3CDTF">2021-07-02T12:53:00Z</dcterms:modified>
</cp:coreProperties>
</file>