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3E" w:rsidRDefault="00982D3E" w:rsidP="00982D3E">
      <w:pPr>
        <w:ind w:left="5245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982D3E" w:rsidRDefault="00982D3E" w:rsidP="00982D3E">
      <w:pPr>
        <w:ind w:left="5245"/>
        <w:rPr>
          <w:sz w:val="28"/>
          <w:szCs w:val="28"/>
        </w:rPr>
      </w:pPr>
      <w:r>
        <w:rPr>
          <w:sz w:val="28"/>
          <w:szCs w:val="28"/>
        </w:rPr>
        <w:t>Розпорядження Київського міського голови</w:t>
      </w:r>
    </w:p>
    <w:p w:rsidR="00982D3E" w:rsidRPr="0024291B" w:rsidRDefault="00982D3E" w:rsidP="00982D3E">
      <w:pPr>
        <w:ind w:left="5245"/>
        <w:rPr>
          <w:sz w:val="28"/>
          <w:szCs w:val="28"/>
          <w:lang w:val="ru-RU"/>
        </w:rPr>
      </w:pPr>
      <w:r>
        <w:rPr>
          <w:sz w:val="28"/>
          <w:szCs w:val="28"/>
        </w:rPr>
        <w:t>__</w:t>
      </w:r>
      <w:r w:rsidR="00FC0332">
        <w:rPr>
          <w:sz w:val="28"/>
          <w:szCs w:val="28"/>
          <w:u w:val="single"/>
        </w:rPr>
        <w:t>15.06.2018</w:t>
      </w:r>
      <w:r w:rsidR="00E435C5" w:rsidRPr="0024291B">
        <w:rPr>
          <w:sz w:val="28"/>
          <w:szCs w:val="28"/>
          <w:lang w:val="ru-RU"/>
        </w:rPr>
        <w:t>___</w:t>
      </w:r>
      <w:r w:rsidR="00FC0332">
        <w:rPr>
          <w:sz w:val="28"/>
          <w:szCs w:val="28"/>
        </w:rPr>
        <w:t>№ __</w:t>
      </w:r>
      <w:r w:rsidR="00FC0332">
        <w:rPr>
          <w:sz w:val="28"/>
          <w:szCs w:val="28"/>
          <w:u w:val="single"/>
        </w:rPr>
        <w:t>386</w:t>
      </w:r>
      <w:r w:rsidR="00E435C5" w:rsidRPr="0024291B">
        <w:rPr>
          <w:sz w:val="28"/>
          <w:szCs w:val="28"/>
          <w:lang w:val="ru-RU"/>
        </w:rPr>
        <w:t>___</w:t>
      </w:r>
    </w:p>
    <w:p w:rsidR="00982D3E" w:rsidRDefault="00982D3E" w:rsidP="00982D3E">
      <w:pPr>
        <w:ind w:left="5954"/>
        <w:rPr>
          <w:sz w:val="28"/>
          <w:szCs w:val="28"/>
        </w:rPr>
      </w:pPr>
    </w:p>
    <w:p w:rsidR="00967D4B" w:rsidRDefault="00967D4B" w:rsidP="00982D3E">
      <w:pPr>
        <w:jc w:val="center"/>
        <w:rPr>
          <w:rFonts w:eastAsia="Calibri"/>
          <w:sz w:val="28"/>
          <w:szCs w:val="28"/>
        </w:rPr>
      </w:pPr>
    </w:p>
    <w:p w:rsidR="00967D4B" w:rsidRDefault="00967D4B" w:rsidP="00982D3E">
      <w:pPr>
        <w:jc w:val="center"/>
        <w:rPr>
          <w:rFonts w:eastAsia="Calibri"/>
          <w:sz w:val="28"/>
          <w:szCs w:val="28"/>
        </w:rPr>
      </w:pPr>
    </w:p>
    <w:p w:rsidR="00982D3E" w:rsidRDefault="00982D3E" w:rsidP="00982D3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УМОВИ</w:t>
      </w:r>
    </w:p>
    <w:p w:rsidR="00982D3E" w:rsidRDefault="00982D3E" w:rsidP="00982D3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EC0197">
        <w:rPr>
          <w:bCs/>
          <w:sz w:val="28"/>
          <w:szCs w:val="28"/>
        </w:rPr>
        <w:t xml:space="preserve">проведення конкурсу на зайняття вакантної посади </w:t>
      </w:r>
      <w:r w:rsidR="00E435C5">
        <w:rPr>
          <w:bCs/>
          <w:sz w:val="28"/>
          <w:szCs w:val="28"/>
        </w:rPr>
        <w:t>начальника Управління екології та природних ресурсів</w:t>
      </w:r>
      <w:r w:rsidRPr="00EC0197">
        <w:rPr>
          <w:bCs/>
          <w:sz w:val="28"/>
          <w:szCs w:val="28"/>
        </w:rPr>
        <w:t xml:space="preserve"> виконавчого органу Київської міської ради (Київської міської державної адміністрації)</w:t>
      </w:r>
      <w:r>
        <w:rPr>
          <w:bCs/>
          <w:sz w:val="28"/>
          <w:szCs w:val="28"/>
        </w:rPr>
        <w:t xml:space="preserve"> </w:t>
      </w:r>
      <w:r w:rsidR="00E435C5">
        <w:rPr>
          <w:bCs/>
          <w:sz w:val="28"/>
          <w:szCs w:val="28"/>
        </w:rPr>
        <w:t>(категорія «Б»)</w:t>
      </w:r>
    </w:p>
    <w:p w:rsidR="00982D3E" w:rsidRPr="00967D4B" w:rsidRDefault="00982D3E" w:rsidP="00982D3E">
      <w:pPr>
        <w:jc w:val="center"/>
        <w:rPr>
          <w:rFonts w:eastAsia="Calibri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943"/>
        <w:gridCol w:w="284"/>
        <w:gridCol w:w="283"/>
        <w:gridCol w:w="142"/>
        <w:gridCol w:w="6379"/>
        <w:gridCol w:w="142"/>
      </w:tblGrid>
      <w:tr w:rsidR="00982D3E" w:rsidTr="00982D3E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Загальні умови</w:t>
            </w:r>
          </w:p>
          <w:p w:rsidR="00982D3E" w:rsidRPr="00967D4B" w:rsidRDefault="00982D3E">
            <w:pPr>
              <w:tabs>
                <w:tab w:val="left" w:pos="127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2D3E" w:rsidTr="00982D3E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E435C5" w:rsidP="00982D3E">
            <w:pPr>
              <w:ind w:right="-2" w:firstLine="36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 w:rsidR="002B20E2">
              <w:rPr>
                <w:rFonts w:eastAsia="Calibri"/>
                <w:sz w:val="28"/>
                <w:szCs w:val="28"/>
                <w:lang w:eastAsia="en-US"/>
              </w:rPr>
              <w:t>У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правління екології та природних ресурсів</w:t>
            </w:r>
            <w:r w:rsidR="00982D3E" w:rsidRPr="000D66DE">
              <w:rPr>
                <w:bCs/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  <w:r w:rsidR="00982D3E">
              <w:rPr>
                <w:bCs/>
                <w:sz w:val="28"/>
                <w:szCs w:val="28"/>
              </w:rPr>
              <w:t xml:space="preserve"> </w:t>
            </w:r>
            <w:r w:rsidR="00982D3E" w:rsidRPr="000D66DE">
              <w:rPr>
                <w:sz w:val="28"/>
                <w:szCs w:val="28"/>
              </w:rPr>
              <w:t xml:space="preserve">здійснює керівництво </w:t>
            </w:r>
            <w:r w:rsidR="0070307C">
              <w:rPr>
                <w:sz w:val="28"/>
                <w:szCs w:val="28"/>
              </w:rPr>
              <w:t xml:space="preserve">Управлінням екології та природних ресурсів виконавчого органу Київської міської ради </w:t>
            </w:r>
            <w:r w:rsidR="00982D3E">
              <w:rPr>
                <w:sz w:val="28"/>
                <w:szCs w:val="28"/>
              </w:rPr>
              <w:t xml:space="preserve">(Київської міської державної адміністрації) (далі – </w:t>
            </w:r>
            <w:r w:rsidR="00967D4B">
              <w:rPr>
                <w:sz w:val="28"/>
                <w:szCs w:val="28"/>
              </w:rPr>
              <w:t>Управління</w:t>
            </w:r>
            <w:r w:rsidR="00982D3E">
              <w:rPr>
                <w:sz w:val="28"/>
                <w:szCs w:val="28"/>
              </w:rPr>
              <w:t>), до основних завдань якого належить:</w:t>
            </w:r>
          </w:p>
          <w:p w:rsidR="0070307C" w:rsidRPr="0070307C" w:rsidRDefault="0070307C" w:rsidP="0070307C">
            <w:pPr>
              <w:ind w:firstLine="318"/>
              <w:jc w:val="both"/>
              <w:rPr>
                <w:sz w:val="28"/>
                <w:szCs w:val="28"/>
              </w:rPr>
            </w:pPr>
            <w:r w:rsidRPr="0070307C">
              <w:rPr>
                <w:sz w:val="28"/>
                <w:szCs w:val="28"/>
              </w:rPr>
              <w:t>забезпечення реалізації державної політики у сферах охорони навколишнього середовища, раціонального використання, відтворення та охорони природних ресурсів (земля, поверхневі та підземні води, атмосферне повітря, ліси, тваринний і рослинний світ),</w:t>
            </w:r>
            <w:r w:rsidR="00967D4B">
              <w:rPr>
                <w:sz w:val="28"/>
                <w:szCs w:val="28"/>
              </w:rPr>
              <w:t xml:space="preserve"> поводження з відходами (крім поводження з радіоактивними відходами),</w:t>
            </w:r>
            <w:r w:rsidRPr="0070307C">
              <w:rPr>
                <w:sz w:val="28"/>
                <w:szCs w:val="28"/>
              </w:rPr>
              <w:t xml:space="preserve"> небезпечними хімічними речовинами, пестицидами та агрохімікатами, екологічної та в межах своєї компетенції радіаційної безпеки, заповідної справи, формування, збереження та використання екологічної мережі;</w:t>
            </w:r>
          </w:p>
          <w:p w:rsidR="0070307C" w:rsidRPr="0070307C" w:rsidRDefault="0070307C" w:rsidP="0070307C">
            <w:pPr>
              <w:ind w:firstLine="318"/>
              <w:jc w:val="both"/>
              <w:rPr>
                <w:sz w:val="28"/>
                <w:szCs w:val="28"/>
              </w:rPr>
            </w:pPr>
            <w:r w:rsidRPr="0070307C">
              <w:rPr>
                <w:sz w:val="28"/>
                <w:szCs w:val="28"/>
              </w:rPr>
              <w:t>здійснення регулювання у сферах охорони навколишнього природного середовища, забезпечення екологічної та в межах своєї компетенції радіаційної безпеки, у сфері поводження з відходами (крім поводження з радіоактивними відходами), пестицидами та агрохімікатами, організації, охорони і використання територій та об’єктів природно-заповідного фонду України, формування, збереження та використання екологічної мережі;</w:t>
            </w:r>
          </w:p>
          <w:p w:rsidR="0070307C" w:rsidRDefault="0070307C" w:rsidP="0070307C">
            <w:pPr>
              <w:ind w:right="-2" w:firstLine="318"/>
              <w:jc w:val="both"/>
              <w:rPr>
                <w:sz w:val="28"/>
                <w:szCs w:val="28"/>
              </w:rPr>
            </w:pPr>
            <w:r w:rsidRPr="0070307C">
              <w:rPr>
                <w:sz w:val="28"/>
                <w:szCs w:val="28"/>
              </w:rPr>
              <w:t>інформування населення через засоби масової інформації про стан навколишнього природного середовища на території міста Києва, оперативне оповіщення про виникнення надзвичайних екологічних ситуацій та про хід виконання заходів щодо їх ліквідації.</w:t>
            </w:r>
          </w:p>
          <w:p w:rsidR="008C1427" w:rsidRPr="0070307C" w:rsidRDefault="008C1427" w:rsidP="0070307C">
            <w:pPr>
              <w:ind w:right="-2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безпосередньо:</w:t>
            </w:r>
          </w:p>
          <w:p w:rsidR="0070307C" w:rsidRPr="008C1427" w:rsidRDefault="008C1427" w:rsidP="008C1427">
            <w:pPr>
              <w:pStyle w:val="a8"/>
              <w:ind w:left="34" w:firstLine="284"/>
              <w:jc w:val="both"/>
              <w:rPr>
                <w:sz w:val="28"/>
                <w:szCs w:val="28"/>
              </w:rPr>
            </w:pPr>
            <w:r w:rsidRPr="008C1427">
              <w:rPr>
                <w:sz w:val="28"/>
                <w:szCs w:val="28"/>
              </w:rPr>
              <w:lastRenderedPageBreak/>
              <w:t>з</w:t>
            </w:r>
            <w:r w:rsidR="0070307C" w:rsidRPr="008C1427">
              <w:rPr>
                <w:sz w:val="28"/>
                <w:szCs w:val="28"/>
              </w:rPr>
              <w:t>дійснює керівництво Управлінням, сприяє створенню належних умов праці в Управлінні;</w:t>
            </w:r>
          </w:p>
          <w:p w:rsidR="0070307C" w:rsidRPr="008C1427" w:rsidRDefault="008C1427" w:rsidP="008C142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307C" w:rsidRPr="008C1427">
              <w:rPr>
                <w:sz w:val="28"/>
                <w:szCs w:val="28"/>
              </w:rPr>
              <w:t>живає заходів до удосконалення організації та підвищення ефективності роботи Управління;</w:t>
            </w:r>
          </w:p>
          <w:p w:rsidR="0070307C" w:rsidRPr="008C1427" w:rsidRDefault="008C1427" w:rsidP="008C1427">
            <w:pPr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307C" w:rsidRPr="008C1427">
              <w:rPr>
                <w:sz w:val="28"/>
                <w:szCs w:val="28"/>
              </w:rPr>
              <w:t>одає на затвердження Київському міському голові положення</w:t>
            </w:r>
            <w:r w:rsidR="0070307C">
              <w:rPr>
                <w:sz w:val="22"/>
                <w:szCs w:val="22"/>
              </w:rPr>
              <w:t xml:space="preserve"> </w:t>
            </w:r>
            <w:r w:rsidR="0070307C" w:rsidRPr="008C1427">
              <w:rPr>
                <w:sz w:val="28"/>
                <w:szCs w:val="28"/>
              </w:rPr>
              <w:t>про структурний підрозділ;</w:t>
            </w:r>
          </w:p>
          <w:p w:rsidR="0070307C" w:rsidRPr="008C1427" w:rsidRDefault="008C1427" w:rsidP="008C142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307C" w:rsidRPr="008C1427">
              <w:rPr>
                <w:sz w:val="28"/>
                <w:szCs w:val="28"/>
              </w:rPr>
              <w:t>одає на затвердження Київському міському голові проекти кошторисів та штатного розпису Управління в установленому порядку;</w:t>
            </w:r>
          </w:p>
          <w:p w:rsidR="0070307C" w:rsidRPr="008C1427" w:rsidRDefault="008C1427" w:rsidP="008C1427">
            <w:pPr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307C" w:rsidRPr="008C1427">
              <w:rPr>
                <w:sz w:val="28"/>
                <w:szCs w:val="28"/>
              </w:rPr>
              <w:t>идає у межах своєї компетенції накази, організовує і контролює їх виконання;</w:t>
            </w:r>
          </w:p>
          <w:p w:rsidR="0070307C" w:rsidRPr="008C1427" w:rsidRDefault="008C1427" w:rsidP="008C1427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307C" w:rsidRPr="008C1427">
              <w:rPr>
                <w:sz w:val="28"/>
                <w:szCs w:val="28"/>
              </w:rPr>
              <w:t>живає заходів до удосконалення організації та підвищення ефективності роботи Управління;</w:t>
            </w:r>
          </w:p>
          <w:p w:rsidR="0070307C" w:rsidRPr="008C1427" w:rsidRDefault="008C1427" w:rsidP="008C1427">
            <w:pPr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307C" w:rsidRPr="008C1427">
              <w:rPr>
                <w:sz w:val="28"/>
                <w:szCs w:val="28"/>
              </w:rPr>
              <w:t>ризначає на посади і звільняє з посад працівників Управління у порядку, передбаченому законодавством України;</w:t>
            </w:r>
          </w:p>
          <w:p w:rsidR="0070307C" w:rsidRPr="008C1427" w:rsidRDefault="008C1427" w:rsidP="008C1427">
            <w:pPr>
              <w:ind w:left="34"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307C" w:rsidRPr="008C1427">
              <w:rPr>
                <w:sz w:val="28"/>
                <w:szCs w:val="28"/>
              </w:rPr>
              <w:t>астосовує до працівників Управління заходи заохочення та накладає дисциплінарні стягнення;</w:t>
            </w:r>
          </w:p>
          <w:p w:rsidR="0070307C" w:rsidRPr="008C1427" w:rsidRDefault="008C1427" w:rsidP="008C1427">
            <w:pPr>
              <w:ind w:left="34"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307C" w:rsidRPr="008C1427">
              <w:rPr>
                <w:sz w:val="28"/>
                <w:szCs w:val="28"/>
              </w:rPr>
              <w:t xml:space="preserve">ланує роботу </w:t>
            </w:r>
            <w:r w:rsidR="00967D4B">
              <w:rPr>
                <w:sz w:val="28"/>
                <w:szCs w:val="28"/>
              </w:rPr>
              <w:t>У</w:t>
            </w:r>
            <w:r w:rsidR="0070307C" w:rsidRPr="008C1427">
              <w:rPr>
                <w:sz w:val="28"/>
                <w:szCs w:val="28"/>
              </w:rPr>
              <w:t>правління, вносить пропозиці</w:t>
            </w:r>
            <w:r>
              <w:rPr>
                <w:sz w:val="28"/>
                <w:szCs w:val="28"/>
              </w:rPr>
              <w:t xml:space="preserve">ї щодо формування планів роботи </w:t>
            </w:r>
            <w:r w:rsidR="0070307C" w:rsidRPr="008C1427">
              <w:rPr>
                <w:sz w:val="28"/>
                <w:szCs w:val="28"/>
              </w:rPr>
              <w:t>виконавчого органу Київської міської ради (Київської міської державної адміністрації);</w:t>
            </w:r>
          </w:p>
          <w:p w:rsidR="0070307C" w:rsidRPr="008C1427" w:rsidRDefault="008C1427" w:rsidP="008C1427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307C" w:rsidRPr="008C1427">
              <w:rPr>
                <w:sz w:val="28"/>
                <w:szCs w:val="28"/>
              </w:rPr>
              <w:t>абезпечує комплексне вирішення питань роботи з керівниками комунальних підприємств, що належать до комунальної власності територіальної громади міста Киє</w:t>
            </w:r>
            <w:r w:rsidR="00967D4B">
              <w:rPr>
                <w:sz w:val="28"/>
                <w:szCs w:val="28"/>
              </w:rPr>
              <w:t>ва та підпорядковані Управлінню</w:t>
            </w:r>
            <w:r w:rsidR="0070307C" w:rsidRPr="008C1427">
              <w:rPr>
                <w:sz w:val="28"/>
                <w:szCs w:val="28"/>
              </w:rPr>
              <w:t>;</w:t>
            </w:r>
          </w:p>
          <w:p w:rsidR="0070307C" w:rsidRPr="008C1427" w:rsidRDefault="00967D4B" w:rsidP="008C1427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вносить подання про</w:t>
            </w:r>
            <w:r w:rsidR="0070307C" w:rsidRPr="008C1427">
              <w:rPr>
                <w:sz w:val="28"/>
                <w:szCs w:val="28"/>
              </w:rPr>
              <w:t xml:space="preserve"> звільнення з посади керівників комунальних</w:t>
            </w:r>
            <w:r w:rsidR="00DE0BA2">
              <w:rPr>
                <w:sz w:val="28"/>
                <w:szCs w:val="28"/>
              </w:rPr>
              <w:t xml:space="preserve"> </w:t>
            </w:r>
            <w:r w:rsidR="0070307C" w:rsidRPr="008C1427">
              <w:rPr>
                <w:sz w:val="28"/>
                <w:szCs w:val="28"/>
              </w:rPr>
              <w:t>підприємств, підпорядкованих Управлінню;</w:t>
            </w:r>
          </w:p>
          <w:p w:rsidR="0070307C" w:rsidRPr="008C1427" w:rsidRDefault="008C1427" w:rsidP="008C1427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307C" w:rsidRPr="008C1427">
              <w:rPr>
                <w:sz w:val="28"/>
                <w:szCs w:val="28"/>
              </w:rPr>
              <w:t>носить пропозиції щодо розгляду на засіданнях Колегії  виконавчого органу Київської міської ради (Київської міської державної адміністрації) питань, що належать до компетенції Управління, та розробляє проекти відповідних рішень;</w:t>
            </w:r>
          </w:p>
          <w:p w:rsidR="0070307C" w:rsidRPr="008C1427" w:rsidRDefault="008C1427" w:rsidP="008C1427">
            <w:pPr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307C" w:rsidRPr="008C1427">
              <w:rPr>
                <w:sz w:val="28"/>
                <w:szCs w:val="28"/>
              </w:rPr>
              <w:t>роводить особистий прийом громадян з питань, що належать до повноважень Управління;</w:t>
            </w:r>
          </w:p>
          <w:p w:rsidR="0070307C" w:rsidRPr="008C1427" w:rsidRDefault="008C1427" w:rsidP="008C1427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307C" w:rsidRPr="008C1427">
              <w:rPr>
                <w:sz w:val="28"/>
                <w:szCs w:val="28"/>
              </w:rPr>
              <w:t xml:space="preserve">абезпечує дотримання працівниками Управління правил внутрішнього </w:t>
            </w:r>
            <w:r w:rsidR="00967D4B">
              <w:rPr>
                <w:sz w:val="28"/>
                <w:szCs w:val="28"/>
              </w:rPr>
              <w:t>службового</w:t>
            </w:r>
            <w:r w:rsidR="0070307C" w:rsidRPr="008C1427">
              <w:rPr>
                <w:sz w:val="28"/>
                <w:szCs w:val="28"/>
              </w:rPr>
              <w:t xml:space="preserve"> розпорядку та виконавської дисципліни;</w:t>
            </w:r>
          </w:p>
          <w:p w:rsidR="0070307C" w:rsidRPr="008C1427" w:rsidRDefault="008C1427" w:rsidP="008C1427">
            <w:pPr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0307C" w:rsidRPr="008C1427">
              <w:rPr>
                <w:sz w:val="28"/>
                <w:szCs w:val="28"/>
              </w:rPr>
              <w:t>рганізовує роботу з підвищення рівня професійної компетентності державних службовців структурного підрозділу;</w:t>
            </w:r>
          </w:p>
          <w:p w:rsidR="0070307C" w:rsidRPr="008C1427" w:rsidRDefault="008C1427" w:rsidP="008C1427">
            <w:pPr>
              <w:ind w:left="34" w:firstLine="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307C" w:rsidRPr="008C1427">
              <w:rPr>
                <w:sz w:val="28"/>
                <w:szCs w:val="28"/>
              </w:rPr>
              <w:t>вітує перед Київським міським головою про виконання покладених на Управління завдань;</w:t>
            </w:r>
          </w:p>
          <w:p w:rsidR="0070307C" w:rsidRPr="008C1427" w:rsidRDefault="008C1427" w:rsidP="008C1427">
            <w:pPr>
              <w:ind w:right="-2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0307C" w:rsidRPr="008C1427">
              <w:rPr>
                <w:sz w:val="28"/>
                <w:szCs w:val="28"/>
              </w:rPr>
              <w:t>дійснює інші повноваження, визначені законодавством України.</w:t>
            </w:r>
          </w:p>
          <w:p w:rsidR="00982D3E" w:rsidRPr="00982D3E" w:rsidRDefault="00982D3E" w:rsidP="00E435C5">
            <w:pPr>
              <w:tabs>
                <w:tab w:val="left" w:pos="6033"/>
              </w:tabs>
              <w:ind w:right="-2" w:firstLine="58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D3E" w:rsidTr="00982D3E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 w:rsidP="00982D3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посадовий оклад  -  </w:t>
            </w:r>
            <w:r w:rsidR="00E435C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00,00 гривень, відповідно до постанови Кабінету Міністрів України від 18 січня 2017 № 15 (в редакції постанови Кабінету Міністрів України від 25 січня 2018 № 24);</w:t>
            </w:r>
          </w:p>
          <w:p w:rsidR="00982D3E" w:rsidRDefault="00982D3E" w:rsidP="00982D3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надбавки, доплати та премії - передбачені Законом України «Про державну службу».</w:t>
            </w:r>
          </w:p>
          <w:p w:rsidR="00982D3E" w:rsidRPr="00982D3E" w:rsidRDefault="00982D3E" w:rsidP="00982D3E">
            <w:pPr>
              <w:ind w:firstLine="318"/>
              <w:jc w:val="both"/>
              <w:rPr>
                <w:sz w:val="16"/>
                <w:szCs w:val="16"/>
              </w:rPr>
            </w:pPr>
          </w:p>
        </w:tc>
      </w:tr>
      <w:tr w:rsidR="00982D3E" w:rsidTr="00982D3E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 w:rsidP="008C1427">
            <w:pPr>
              <w:pStyle w:val="a5"/>
              <w:spacing w:before="0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982D3E" w:rsidRDefault="00982D3E">
            <w:pPr>
              <w:jc w:val="both"/>
              <w:rPr>
                <w:sz w:val="28"/>
                <w:szCs w:val="28"/>
              </w:rPr>
            </w:pPr>
          </w:p>
        </w:tc>
      </w:tr>
      <w:tr w:rsidR="00982D3E" w:rsidTr="00982D3E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документів, необхідних для участі в конкурсі, та строк їх подання </w:t>
            </w:r>
          </w:p>
          <w:p w:rsidR="00982D3E" w:rsidRDefault="00982D3E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Особа, яка бажає взяти участь у конкурсі, подає (особисто або поштою) конкурсній комісії такі документи:</w:t>
            </w:r>
          </w:p>
          <w:p w:rsidR="00982D3E" w:rsidRDefault="00982D3E" w:rsidP="00982D3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  <w:t>копію паспорта громадянина України;</w:t>
            </w:r>
          </w:p>
          <w:p w:rsidR="00982D3E" w:rsidRDefault="00982D3E" w:rsidP="00982D3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82D3E" w:rsidRDefault="00982D3E" w:rsidP="00982D3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ab/>
              <w:t>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82D3E" w:rsidRDefault="00982D3E" w:rsidP="00982D3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ab/>
              <w:t>копію (копії) документа (документів) про освіту;</w:t>
            </w:r>
          </w:p>
          <w:p w:rsidR="00982D3E" w:rsidRDefault="00982D3E" w:rsidP="00982D3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982D3E" w:rsidRDefault="00982D3E" w:rsidP="00982D3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ab/>
              <w:t>заповнену особову картку встановленого зразка;</w:t>
            </w:r>
          </w:p>
          <w:p w:rsidR="00982D3E" w:rsidRDefault="00982D3E" w:rsidP="00982D3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>
              <w:rPr>
                <w:sz w:val="28"/>
                <w:szCs w:val="28"/>
              </w:rPr>
              <w:tab/>
              <w:t>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</w:t>
            </w:r>
            <w:r w:rsidR="0030245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). </w:t>
            </w:r>
          </w:p>
          <w:p w:rsidR="00982D3E" w:rsidRDefault="00982D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982D3E" w:rsidRDefault="00982D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Особа з інвалідністю, яка бажає взяти участь у конкурсі та потребує у зв'язку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982D3E" w:rsidRDefault="00982D3E" w:rsidP="00703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Документи приймаються до 1</w:t>
            </w:r>
            <w:r w:rsidR="0070307C">
              <w:rPr>
                <w:sz w:val="28"/>
                <w:szCs w:val="28"/>
              </w:rPr>
              <w:t>8.00 02</w:t>
            </w:r>
            <w:r>
              <w:rPr>
                <w:sz w:val="28"/>
                <w:szCs w:val="28"/>
              </w:rPr>
              <w:t xml:space="preserve"> </w:t>
            </w:r>
            <w:r w:rsidR="0070307C">
              <w:rPr>
                <w:sz w:val="28"/>
                <w:szCs w:val="28"/>
              </w:rPr>
              <w:t>лип</w:t>
            </w:r>
            <w:r>
              <w:rPr>
                <w:sz w:val="28"/>
                <w:szCs w:val="28"/>
              </w:rPr>
              <w:t>ня 2018 року</w:t>
            </w:r>
          </w:p>
          <w:p w:rsidR="00967D4B" w:rsidRDefault="00967D4B" w:rsidP="0070307C">
            <w:pPr>
              <w:jc w:val="both"/>
              <w:rPr>
                <w:sz w:val="28"/>
                <w:szCs w:val="28"/>
              </w:rPr>
            </w:pPr>
          </w:p>
        </w:tc>
      </w:tr>
      <w:tr w:rsidR="00982D3E" w:rsidTr="00982D3E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Місце, час та дата проведення конкурсу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D3E" w:rsidRDefault="001B46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Київ, вул. Хрещатик, 36, 0</w:t>
            </w:r>
            <w:r w:rsidR="0070307C">
              <w:rPr>
                <w:sz w:val="28"/>
                <w:szCs w:val="28"/>
              </w:rPr>
              <w:t>5</w:t>
            </w:r>
            <w:r w:rsidR="00982D3E">
              <w:rPr>
                <w:sz w:val="28"/>
                <w:szCs w:val="28"/>
              </w:rPr>
              <w:t xml:space="preserve"> </w:t>
            </w:r>
            <w:r w:rsidR="0070307C">
              <w:rPr>
                <w:sz w:val="28"/>
                <w:szCs w:val="28"/>
              </w:rPr>
              <w:t>лип</w:t>
            </w:r>
            <w:r w:rsidR="00982D3E">
              <w:rPr>
                <w:sz w:val="28"/>
                <w:szCs w:val="28"/>
              </w:rPr>
              <w:t>ня 2018 року о 10.00.</w:t>
            </w:r>
          </w:p>
          <w:p w:rsidR="00982D3E" w:rsidRDefault="00982D3E">
            <w:pPr>
              <w:jc w:val="both"/>
              <w:rPr>
                <w:sz w:val="28"/>
                <w:szCs w:val="28"/>
              </w:rPr>
            </w:pPr>
          </w:p>
        </w:tc>
      </w:tr>
      <w:tr w:rsidR="00982D3E" w:rsidTr="00982D3E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 w:rsidP="00DE0BA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Пухальська</w:t>
            </w:r>
            <w:proofErr w:type="spellEnd"/>
            <w:r>
              <w:rPr>
                <w:sz w:val="28"/>
                <w:szCs w:val="28"/>
              </w:rPr>
              <w:t xml:space="preserve"> Ольга Анатоліївна, +38 (044) 202-74-69,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>
                <w:rPr>
                  <w:rStyle w:val="a3"/>
                  <w:sz w:val="28"/>
                  <w:szCs w:val="28"/>
                  <w:lang w:val="ru-RU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kma</w:t>
              </w:r>
              <w:r>
                <w:rPr>
                  <w:rStyle w:val="a3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82D3E" w:rsidRDefault="00982D3E">
            <w:pPr>
              <w:rPr>
                <w:sz w:val="28"/>
                <w:szCs w:val="28"/>
                <w:lang w:val="ru-RU"/>
              </w:rPr>
            </w:pPr>
          </w:p>
        </w:tc>
      </w:tr>
      <w:tr w:rsidR="00982D3E" w:rsidTr="00982D3E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D3E" w:rsidRPr="00982D3E" w:rsidRDefault="00982D3E">
            <w:pPr>
              <w:jc w:val="center"/>
              <w:rPr>
                <w:sz w:val="16"/>
                <w:szCs w:val="16"/>
              </w:rPr>
            </w:pPr>
          </w:p>
          <w:p w:rsidR="00982D3E" w:rsidRDefault="0098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Кваліфікаційні вимоги</w:t>
            </w:r>
          </w:p>
          <w:p w:rsidR="00982D3E" w:rsidRPr="00982D3E" w:rsidRDefault="00982D3E">
            <w:pPr>
              <w:jc w:val="center"/>
              <w:rPr>
                <w:sz w:val="16"/>
                <w:szCs w:val="16"/>
              </w:rPr>
            </w:pPr>
          </w:p>
        </w:tc>
      </w:tr>
      <w:tr w:rsidR="00982D3E" w:rsidTr="00982D3E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 w:rsidP="0048548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 w:rsidP="00242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Присвоєно ступі</w:t>
            </w:r>
            <w:r w:rsidR="0024291B">
              <w:rPr>
                <w:sz w:val="28"/>
                <w:szCs w:val="28"/>
              </w:rPr>
              <w:t xml:space="preserve">нь вищої світи не нижче магістра </w:t>
            </w:r>
            <w:r w:rsidR="000F6DBA">
              <w:rPr>
                <w:sz w:val="28"/>
                <w:szCs w:val="28"/>
              </w:rPr>
              <w:t>за спеціальністю</w:t>
            </w:r>
            <w:r w:rsidR="0024291B">
              <w:rPr>
                <w:sz w:val="28"/>
                <w:szCs w:val="28"/>
              </w:rPr>
              <w:t xml:space="preserve"> «Екологі</w:t>
            </w:r>
            <w:r w:rsidR="000F6DBA">
              <w:rPr>
                <w:sz w:val="28"/>
                <w:szCs w:val="28"/>
              </w:rPr>
              <w:t>чний контроль та аудит</w:t>
            </w:r>
            <w:r w:rsidR="0024291B">
              <w:rPr>
                <w:sz w:val="28"/>
                <w:szCs w:val="28"/>
              </w:rPr>
              <w:t xml:space="preserve">», «Право», </w:t>
            </w:r>
            <w:r w:rsidR="000F6DBA">
              <w:rPr>
                <w:sz w:val="28"/>
                <w:szCs w:val="28"/>
              </w:rPr>
              <w:t xml:space="preserve">«Екологія та охорона навколишнього середовища», </w:t>
            </w:r>
            <w:r w:rsidR="0024291B">
              <w:rPr>
                <w:sz w:val="28"/>
                <w:szCs w:val="28"/>
              </w:rPr>
              <w:t>«Державне управління»</w:t>
            </w:r>
            <w:r w:rsidR="008E25A1">
              <w:rPr>
                <w:sz w:val="28"/>
                <w:szCs w:val="28"/>
              </w:rPr>
              <w:t>, «Місцеве самоврядування»</w:t>
            </w:r>
            <w:r>
              <w:rPr>
                <w:sz w:val="28"/>
                <w:szCs w:val="28"/>
              </w:rPr>
              <w:t>.</w:t>
            </w:r>
          </w:p>
          <w:p w:rsidR="00982D3E" w:rsidRDefault="00982D3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82D3E" w:rsidTr="00982D3E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 w:rsidP="0048548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D3E" w:rsidRPr="00982D3E" w:rsidRDefault="00982D3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 організацій незалежно від форми власності не менше двох років.</w:t>
            </w:r>
          </w:p>
          <w:p w:rsidR="00982D3E" w:rsidRPr="00982D3E" w:rsidRDefault="00982D3E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982D3E" w:rsidTr="00982D3E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 w:rsidP="0048548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Володіння державною мовою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Вільне володіння державною мовою </w:t>
            </w:r>
          </w:p>
        </w:tc>
      </w:tr>
      <w:tr w:rsidR="00982D3E" w:rsidTr="00982D3E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>
            <w:pPr>
              <w:jc w:val="center"/>
              <w:rPr>
                <w:sz w:val="16"/>
                <w:szCs w:val="16"/>
              </w:rPr>
            </w:pPr>
          </w:p>
          <w:p w:rsidR="00982D3E" w:rsidRDefault="0098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982D3E" w:rsidTr="000F6DBA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>
            <w:pPr>
              <w:jc w:val="center"/>
              <w:rPr>
                <w:sz w:val="16"/>
                <w:szCs w:val="16"/>
              </w:rPr>
            </w:pPr>
          </w:p>
          <w:p w:rsidR="00982D3E" w:rsidRDefault="00982D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Вимога</w:t>
            </w:r>
          </w:p>
          <w:p w:rsidR="00982D3E" w:rsidRDefault="00982D3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>
            <w:pPr>
              <w:jc w:val="center"/>
              <w:rPr>
                <w:sz w:val="16"/>
                <w:szCs w:val="16"/>
              </w:rPr>
            </w:pPr>
          </w:p>
          <w:p w:rsidR="00982D3E" w:rsidRDefault="0098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  <w:p w:rsidR="000F6DBA" w:rsidRPr="000F6DBA" w:rsidRDefault="000F6DBA">
            <w:pPr>
              <w:jc w:val="center"/>
              <w:rPr>
                <w:sz w:val="16"/>
                <w:szCs w:val="16"/>
              </w:rPr>
            </w:pPr>
          </w:p>
        </w:tc>
      </w:tr>
      <w:tr w:rsidR="00982D3E" w:rsidTr="000F6DBA">
        <w:trPr>
          <w:gridAfter w:val="1"/>
          <w:wAfter w:w="142" w:type="dxa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D3E" w:rsidRPr="00F50DA9" w:rsidRDefault="00202508" w:rsidP="00F50DA9">
            <w:pPr>
              <w:pStyle w:val="a8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F6DBA">
              <w:rPr>
                <w:sz w:val="28"/>
                <w:szCs w:val="28"/>
              </w:rPr>
              <w:t>ілові якості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82D3E" w:rsidRDefault="000F6DBA" w:rsidP="000F6DBA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організаторські здібності;</w:t>
            </w:r>
          </w:p>
          <w:p w:rsidR="000F6DBA" w:rsidRDefault="000F6DBA" w:rsidP="000F6DBA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навички управління;</w:t>
            </w:r>
          </w:p>
          <w:p w:rsidR="000F6DBA" w:rsidRDefault="000F6DBA" w:rsidP="000F6DBA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навички контролю;</w:t>
            </w:r>
          </w:p>
          <w:p w:rsidR="000F6DBA" w:rsidRDefault="000F6DBA" w:rsidP="000F6DBA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діалогове спілкування (письмове і усне);</w:t>
            </w:r>
          </w:p>
          <w:p w:rsidR="000F6DBA" w:rsidRDefault="000F6DBA" w:rsidP="000F6DBA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лідерські якості;</w:t>
            </w:r>
          </w:p>
          <w:p w:rsidR="000F6DBA" w:rsidRDefault="000F6DBA" w:rsidP="000F6DBA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вести перемовини;</w:t>
            </w:r>
          </w:p>
          <w:p w:rsidR="000F6DBA" w:rsidRDefault="000F6DBA" w:rsidP="000F6DBA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вимогливість;</w:t>
            </w:r>
          </w:p>
          <w:p w:rsidR="000F6DBA" w:rsidRDefault="000F6DBA" w:rsidP="000F6DBA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  <w:p w:rsidR="000F6DBA" w:rsidRPr="000F6DBA" w:rsidRDefault="000F6DBA" w:rsidP="000F6DBA">
            <w:pPr>
              <w:pStyle w:val="rvps2"/>
              <w:shd w:val="clear" w:color="auto" w:fill="FFFFFF"/>
              <w:spacing w:before="0" w:beforeAutospacing="0" w:after="0" w:afterAutospacing="0"/>
              <w:ind w:left="720"/>
              <w:rPr>
                <w:sz w:val="16"/>
                <w:szCs w:val="16"/>
                <w:lang w:val="uk-UA"/>
              </w:rPr>
            </w:pPr>
          </w:p>
        </w:tc>
      </w:tr>
      <w:tr w:rsidR="00982D3E" w:rsidTr="000F6DBA">
        <w:trPr>
          <w:gridAfter w:val="1"/>
          <w:wAfter w:w="142" w:type="dxa"/>
          <w:trHeight w:val="844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D3E" w:rsidRDefault="000F6DBA" w:rsidP="000F6DBA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працювати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компютером</w:t>
            </w:r>
            <w:proofErr w:type="spellEnd"/>
          </w:p>
          <w:p w:rsidR="000F6DBA" w:rsidRDefault="000F6DBA" w:rsidP="000F6DBA">
            <w:pPr>
              <w:rPr>
                <w:sz w:val="28"/>
                <w:szCs w:val="28"/>
                <w:lang w:val="ru-RU"/>
              </w:rPr>
            </w:pPr>
          </w:p>
          <w:p w:rsidR="000F6DBA" w:rsidRDefault="000F6DBA" w:rsidP="000F6DBA">
            <w:pPr>
              <w:rPr>
                <w:sz w:val="28"/>
                <w:szCs w:val="28"/>
                <w:lang w:val="ru-RU"/>
              </w:rPr>
            </w:pPr>
          </w:p>
          <w:p w:rsidR="000F6DBA" w:rsidRDefault="000F6DBA" w:rsidP="000F6DBA">
            <w:pPr>
              <w:rPr>
                <w:sz w:val="28"/>
                <w:szCs w:val="28"/>
                <w:lang w:val="ru-RU"/>
              </w:rPr>
            </w:pPr>
          </w:p>
          <w:p w:rsidR="000F6DBA" w:rsidRDefault="000F6DBA" w:rsidP="000F6DBA">
            <w:pPr>
              <w:rPr>
                <w:sz w:val="28"/>
                <w:szCs w:val="28"/>
                <w:lang w:val="ru-RU"/>
              </w:rPr>
            </w:pPr>
          </w:p>
          <w:p w:rsidR="000F6DBA" w:rsidRDefault="000F6DBA" w:rsidP="000F6DBA">
            <w:pPr>
              <w:rPr>
                <w:sz w:val="28"/>
                <w:szCs w:val="28"/>
                <w:lang w:val="ru-RU"/>
              </w:rPr>
            </w:pPr>
          </w:p>
          <w:p w:rsidR="000F6DBA" w:rsidRDefault="000F6DBA" w:rsidP="000F6DBA">
            <w:pPr>
              <w:pStyle w:val="a8"/>
              <w:rPr>
                <w:sz w:val="28"/>
                <w:szCs w:val="28"/>
                <w:lang w:val="ru-RU"/>
              </w:rPr>
            </w:pPr>
          </w:p>
          <w:p w:rsidR="000F6DBA" w:rsidRPr="000F6DBA" w:rsidRDefault="00202508" w:rsidP="000F6DBA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</w:t>
            </w:r>
            <w:r w:rsidR="000F6DBA">
              <w:rPr>
                <w:sz w:val="28"/>
                <w:szCs w:val="28"/>
                <w:lang w:val="ru-RU"/>
              </w:rPr>
              <w:t>обистісні</w:t>
            </w:r>
            <w:proofErr w:type="spellEnd"/>
            <w:r w:rsidR="000F6DB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F6DBA">
              <w:rPr>
                <w:sz w:val="28"/>
                <w:szCs w:val="28"/>
                <w:lang w:val="ru-RU"/>
              </w:rPr>
              <w:t>якості</w:t>
            </w:r>
            <w:proofErr w:type="spellEnd"/>
            <w:r w:rsidR="000F6DB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82D3E" w:rsidRDefault="000F6DBA" w:rsidP="000F6DBA">
            <w:pPr>
              <w:jc w:val="both"/>
              <w:rPr>
                <w:sz w:val="28"/>
                <w:szCs w:val="28"/>
              </w:rPr>
            </w:pPr>
            <w:r w:rsidRPr="005653ED">
              <w:rPr>
                <w:sz w:val="28"/>
                <w:szCs w:val="28"/>
              </w:rPr>
              <w:t>досвідчений користувач Microsoft Of</w:t>
            </w:r>
            <w:r>
              <w:rPr>
                <w:sz w:val="28"/>
                <w:szCs w:val="28"/>
              </w:rPr>
              <w:t xml:space="preserve">fice (Word, Excel, </w:t>
            </w:r>
            <w:proofErr w:type="spellStart"/>
            <w:r>
              <w:rPr>
                <w:sz w:val="28"/>
                <w:szCs w:val="28"/>
              </w:rPr>
              <w:t>Power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0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або альтернативним пакетом </w:t>
            </w:r>
            <w:proofErr w:type="spellStart"/>
            <w:r>
              <w:rPr>
                <w:sz w:val="28"/>
                <w:szCs w:val="28"/>
                <w:lang w:val="en-US"/>
              </w:rPr>
              <w:t>Libre</w:t>
            </w:r>
            <w:proofErr w:type="spellEnd"/>
            <w:r w:rsidRPr="00305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</w:rPr>
              <w:t xml:space="preserve">,  </w:t>
            </w:r>
            <w:r w:rsidRPr="005653ED">
              <w:rPr>
                <w:sz w:val="28"/>
                <w:szCs w:val="28"/>
              </w:rPr>
              <w:t>навички роботи з інформаційно-пошукови</w:t>
            </w:r>
            <w:r>
              <w:rPr>
                <w:sz w:val="28"/>
                <w:szCs w:val="28"/>
              </w:rPr>
              <w:t xml:space="preserve">ми системами в мережі Інтернет, </w:t>
            </w:r>
            <w:r>
              <w:rPr>
                <w:sz w:val="28"/>
                <w:szCs w:val="28"/>
              </w:rPr>
              <w:br/>
            </w:r>
            <w:r w:rsidRPr="005653ED">
              <w:rPr>
                <w:sz w:val="28"/>
                <w:szCs w:val="28"/>
              </w:rPr>
              <w:t>знання сучасних технологій з електронного урядування, вільне користування інформаційно-телекомунікаційними технологія</w:t>
            </w:r>
            <w:r>
              <w:rPr>
                <w:sz w:val="28"/>
                <w:szCs w:val="28"/>
              </w:rPr>
              <w:t>ми</w:t>
            </w:r>
          </w:p>
          <w:p w:rsidR="000F6DBA" w:rsidRPr="000F6DBA" w:rsidRDefault="000F6DBA" w:rsidP="000F6DBA">
            <w:pPr>
              <w:jc w:val="both"/>
              <w:rPr>
                <w:sz w:val="16"/>
                <w:szCs w:val="16"/>
              </w:rPr>
            </w:pPr>
          </w:p>
          <w:p w:rsidR="000F6DBA" w:rsidRDefault="000F6DBA" w:rsidP="000F6DBA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відповідальність;</w:t>
            </w:r>
          </w:p>
          <w:p w:rsidR="000F6DBA" w:rsidRDefault="000F6DBA" w:rsidP="000F6DBA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рішучість;</w:t>
            </w:r>
          </w:p>
          <w:p w:rsidR="000F6DBA" w:rsidRDefault="000F6DBA" w:rsidP="000F6DBA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ініціативність;</w:t>
            </w:r>
          </w:p>
          <w:p w:rsidR="000F6DBA" w:rsidRDefault="000F6DBA" w:rsidP="000F6DBA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інноваційність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F6DBA" w:rsidRPr="000F6DBA" w:rsidRDefault="000F6DBA" w:rsidP="000F6DBA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повага до інших</w:t>
            </w:r>
          </w:p>
        </w:tc>
      </w:tr>
      <w:tr w:rsidR="00982D3E" w:rsidTr="000F6DBA">
        <w:trPr>
          <w:gridAfter w:val="1"/>
          <w:wAfter w:w="142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>
            <w:pPr>
              <w:jc w:val="center"/>
              <w:rPr>
                <w:sz w:val="16"/>
                <w:szCs w:val="16"/>
              </w:rPr>
            </w:pPr>
          </w:p>
          <w:p w:rsidR="00967D4B" w:rsidRDefault="00967D4B">
            <w:pPr>
              <w:jc w:val="center"/>
              <w:rPr>
                <w:sz w:val="28"/>
                <w:szCs w:val="28"/>
              </w:rPr>
            </w:pPr>
          </w:p>
          <w:p w:rsidR="00982D3E" w:rsidRDefault="0098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Професійні знання</w:t>
            </w:r>
          </w:p>
          <w:p w:rsidR="00982D3E" w:rsidRPr="00C12F56" w:rsidRDefault="00982D3E">
            <w:pPr>
              <w:jc w:val="center"/>
              <w:rPr>
                <w:sz w:val="28"/>
                <w:szCs w:val="28"/>
              </w:rPr>
            </w:pPr>
          </w:p>
        </w:tc>
      </w:tr>
      <w:tr w:rsidR="00982D3E" w:rsidTr="000F6DBA">
        <w:trPr>
          <w:gridAfter w:val="1"/>
          <w:wAfter w:w="142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  <w:p w:rsidR="00982D3E" w:rsidRDefault="00982D3E">
            <w:pPr>
              <w:jc w:val="center"/>
              <w:rPr>
                <w:sz w:val="16"/>
                <w:szCs w:val="16"/>
              </w:rPr>
            </w:pPr>
          </w:p>
        </w:tc>
      </w:tr>
      <w:tr w:rsidR="00982D3E" w:rsidTr="000F6D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D3E" w:rsidRDefault="00982D3E">
            <w:pPr>
              <w:ind w:left="-99" w:firstLine="2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Знання: </w:t>
            </w:r>
          </w:p>
          <w:p w:rsidR="00982D3E" w:rsidRDefault="00982D3E">
            <w:pPr>
              <w:ind w:left="-99" w:firstLine="2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України,</w:t>
            </w:r>
          </w:p>
          <w:p w:rsidR="00982D3E" w:rsidRDefault="0098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законів України:</w:t>
            </w:r>
          </w:p>
          <w:p w:rsidR="00982D3E" w:rsidRDefault="0098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«Про державну службу»,</w:t>
            </w:r>
          </w:p>
          <w:p w:rsidR="00982D3E" w:rsidRDefault="0098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«Про запобігання корупції»</w:t>
            </w:r>
          </w:p>
          <w:p w:rsidR="00982D3E" w:rsidRPr="00C12F56" w:rsidRDefault="00982D3E">
            <w:pPr>
              <w:jc w:val="both"/>
              <w:rPr>
                <w:sz w:val="28"/>
                <w:szCs w:val="28"/>
              </w:rPr>
            </w:pPr>
          </w:p>
        </w:tc>
      </w:tr>
      <w:tr w:rsidR="00982D3E" w:rsidTr="000F6DBA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 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2D3E" w:rsidRDefault="00982D3E">
            <w:pPr>
              <w:ind w:firstLine="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982D3E" w:rsidRDefault="00982D3E" w:rsidP="00982D3E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законів України: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982D3E" w:rsidRDefault="00F50DA9" w:rsidP="00982D3E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82D3E">
              <w:rPr>
                <w:bCs/>
                <w:color w:val="000000"/>
                <w:sz w:val="28"/>
                <w:szCs w:val="28"/>
              </w:rPr>
              <w:t>«Про столицю України – місто-герой Київ»,</w:t>
            </w:r>
            <w:r w:rsidR="00982D3E" w:rsidRPr="00E6320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982D3E" w:rsidRDefault="00982D3E" w:rsidP="00982D3E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«Про місцеві державні адміністрації»,</w:t>
            </w:r>
          </w:p>
          <w:p w:rsidR="00982D3E" w:rsidRDefault="00982D3E" w:rsidP="00982D3E">
            <w:pPr>
              <w:ind w:right="295" w:firstLine="188"/>
              <w:jc w:val="both"/>
              <w:rPr>
                <w:bCs/>
                <w:color w:val="000000"/>
                <w:sz w:val="28"/>
                <w:szCs w:val="28"/>
              </w:rPr>
            </w:pPr>
            <w:r w:rsidRPr="00E6320A">
              <w:rPr>
                <w:bCs/>
                <w:color w:val="000000"/>
                <w:sz w:val="28"/>
                <w:szCs w:val="28"/>
              </w:rPr>
              <w:t xml:space="preserve">«Про місцеве самоврядування в Україні», </w:t>
            </w: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</w:p>
          <w:p w:rsidR="00982D3E" w:rsidRDefault="00F50DA9" w:rsidP="00982D3E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 w:rsidRPr="009333CD">
              <w:rPr>
                <w:sz w:val="28"/>
                <w:szCs w:val="28"/>
              </w:rPr>
              <w:t xml:space="preserve"> </w:t>
            </w:r>
            <w:r w:rsidR="00982D3E" w:rsidRPr="009333CD">
              <w:rPr>
                <w:sz w:val="28"/>
                <w:szCs w:val="28"/>
              </w:rPr>
              <w:t xml:space="preserve">«Про </w:t>
            </w:r>
            <w:r w:rsidR="00982D3E">
              <w:rPr>
                <w:sz w:val="28"/>
                <w:szCs w:val="28"/>
              </w:rPr>
              <w:t>звернення громадян»,</w:t>
            </w:r>
          </w:p>
          <w:p w:rsidR="00982D3E" w:rsidRDefault="00982D3E" w:rsidP="00982D3E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83892">
              <w:rPr>
                <w:sz w:val="28"/>
                <w:szCs w:val="28"/>
              </w:rPr>
              <w:t xml:space="preserve">Про </w:t>
            </w:r>
            <w:r w:rsidR="00F50DA9">
              <w:rPr>
                <w:sz w:val="28"/>
                <w:szCs w:val="28"/>
              </w:rPr>
              <w:t>оцінку впливу на довкілля</w:t>
            </w:r>
            <w:r>
              <w:rPr>
                <w:sz w:val="28"/>
                <w:szCs w:val="28"/>
              </w:rPr>
              <w:t>»</w:t>
            </w:r>
            <w:r w:rsidR="00F50DA9">
              <w:rPr>
                <w:sz w:val="28"/>
                <w:szCs w:val="28"/>
              </w:rPr>
              <w:t>,</w:t>
            </w:r>
          </w:p>
          <w:p w:rsidR="00F50DA9" w:rsidRDefault="00F50DA9" w:rsidP="00982D3E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стратегічну екологічну оцінку»,</w:t>
            </w:r>
          </w:p>
          <w:p w:rsidR="00F50DA9" w:rsidRDefault="00F50DA9" w:rsidP="00982D3E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доступ до публічної інформації»,</w:t>
            </w:r>
          </w:p>
          <w:p w:rsidR="00F50DA9" w:rsidRDefault="00F50DA9" w:rsidP="00982D3E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охорону навколишнього середовища»,</w:t>
            </w:r>
          </w:p>
          <w:p w:rsidR="00F50DA9" w:rsidRDefault="00F50DA9" w:rsidP="00982D3E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охорону атмосферного повітря»,</w:t>
            </w:r>
          </w:p>
          <w:p w:rsidR="00F50DA9" w:rsidRDefault="00F50DA9" w:rsidP="00982D3E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природно-заповідний фонд України»,</w:t>
            </w:r>
          </w:p>
          <w:p w:rsidR="00F50DA9" w:rsidRDefault="00F50DA9" w:rsidP="00982D3E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землеустрій»,</w:t>
            </w:r>
          </w:p>
          <w:p w:rsidR="00F50DA9" w:rsidRDefault="00F50DA9" w:rsidP="00967D4B">
            <w:pPr>
              <w:tabs>
                <w:tab w:val="left" w:pos="5939"/>
                <w:tab w:val="left" w:pos="6079"/>
              </w:tabs>
              <w:ind w:right="-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Водний кодекс України,</w:t>
            </w:r>
          </w:p>
          <w:p w:rsidR="00F50DA9" w:rsidRDefault="00F50DA9" w:rsidP="00967D4B">
            <w:pPr>
              <w:tabs>
                <w:tab w:val="left" w:pos="5939"/>
                <w:tab w:val="left" w:pos="6079"/>
              </w:tabs>
              <w:ind w:right="-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Земельний кодекс України,</w:t>
            </w:r>
          </w:p>
          <w:p w:rsidR="00F50DA9" w:rsidRDefault="00F50DA9" w:rsidP="00967D4B">
            <w:pPr>
              <w:tabs>
                <w:tab w:val="left" w:pos="5939"/>
                <w:tab w:val="left" w:pos="6079"/>
              </w:tabs>
              <w:ind w:right="-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Лісовий кодекс України,</w:t>
            </w:r>
          </w:p>
          <w:p w:rsidR="00F50DA9" w:rsidRDefault="00F50DA9" w:rsidP="00967D4B">
            <w:pPr>
              <w:tabs>
                <w:tab w:val="left" w:pos="5939"/>
                <w:tab w:val="left" w:pos="6079"/>
              </w:tabs>
              <w:ind w:right="-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 України про надра,</w:t>
            </w:r>
          </w:p>
          <w:p w:rsidR="00982D3E" w:rsidRDefault="00967D4B" w:rsidP="00967D4B">
            <w:pPr>
              <w:tabs>
                <w:tab w:val="left" w:pos="5939"/>
                <w:tab w:val="left" w:pos="6079"/>
              </w:tabs>
              <w:ind w:right="-2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2D3E">
              <w:rPr>
                <w:sz w:val="28"/>
                <w:szCs w:val="28"/>
              </w:rPr>
              <w:t>останов Кабінету Міністрів України:</w:t>
            </w:r>
          </w:p>
          <w:p w:rsidR="00982D3E" w:rsidRDefault="00982D3E" w:rsidP="00982D3E">
            <w:pPr>
              <w:tabs>
                <w:tab w:val="left" w:pos="5939"/>
                <w:tab w:val="left" w:pos="6079"/>
              </w:tabs>
              <w:ind w:right="-2"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74E9">
              <w:rPr>
                <w:sz w:val="28"/>
                <w:szCs w:val="28"/>
              </w:rPr>
              <w:t xml:space="preserve">від </w:t>
            </w:r>
            <w:r w:rsidR="00DE74E9" w:rsidRPr="00DE74E9">
              <w:rPr>
                <w:sz w:val="28"/>
                <w:szCs w:val="28"/>
                <w:lang w:val="ru-RU"/>
              </w:rPr>
              <w:t>13</w:t>
            </w:r>
            <w:r w:rsidRPr="00DE74E9">
              <w:rPr>
                <w:sz w:val="28"/>
                <w:szCs w:val="28"/>
              </w:rPr>
              <w:t xml:space="preserve"> </w:t>
            </w:r>
            <w:r w:rsidR="00DE74E9" w:rsidRPr="00DE74E9">
              <w:rPr>
                <w:sz w:val="28"/>
                <w:szCs w:val="28"/>
              </w:rPr>
              <w:t>грудня</w:t>
            </w:r>
            <w:r w:rsidRPr="00DE74E9">
              <w:rPr>
                <w:sz w:val="28"/>
                <w:szCs w:val="28"/>
              </w:rPr>
              <w:t xml:space="preserve"> 20</w:t>
            </w:r>
            <w:r w:rsidR="00DE74E9" w:rsidRPr="00DE74E9">
              <w:rPr>
                <w:sz w:val="28"/>
                <w:szCs w:val="28"/>
              </w:rPr>
              <w:t>17</w:t>
            </w:r>
            <w:r w:rsidRPr="00DE74E9">
              <w:rPr>
                <w:sz w:val="28"/>
                <w:szCs w:val="28"/>
              </w:rPr>
              <w:t xml:space="preserve"> року № 9</w:t>
            </w:r>
            <w:r w:rsidR="00DE74E9" w:rsidRPr="00DE74E9">
              <w:rPr>
                <w:sz w:val="28"/>
                <w:szCs w:val="28"/>
              </w:rPr>
              <w:t>89</w:t>
            </w:r>
            <w:r w:rsidRPr="00DE74E9">
              <w:rPr>
                <w:sz w:val="28"/>
                <w:szCs w:val="28"/>
              </w:rPr>
              <w:t xml:space="preserve"> «Про затвердження </w:t>
            </w:r>
            <w:r w:rsidR="00967D4B">
              <w:rPr>
                <w:sz w:val="28"/>
                <w:szCs w:val="28"/>
              </w:rPr>
              <w:t xml:space="preserve">Порядку </w:t>
            </w:r>
            <w:r w:rsidR="00DE74E9">
              <w:rPr>
                <w:sz w:val="28"/>
                <w:szCs w:val="28"/>
              </w:rPr>
              <w:t>проведення громадських слухань у процесі оцінки впливу на довкілля</w:t>
            </w:r>
            <w:r w:rsidRPr="00DE74E9">
              <w:rPr>
                <w:sz w:val="28"/>
                <w:szCs w:val="28"/>
              </w:rPr>
              <w:t>»</w:t>
            </w:r>
            <w:r w:rsidR="00DE74E9">
              <w:rPr>
                <w:sz w:val="28"/>
                <w:szCs w:val="28"/>
              </w:rPr>
              <w:t>;</w:t>
            </w:r>
          </w:p>
          <w:p w:rsidR="00DE74E9" w:rsidRDefault="00DE74E9" w:rsidP="00982D3E">
            <w:pPr>
              <w:tabs>
                <w:tab w:val="left" w:pos="5939"/>
                <w:tab w:val="left" w:pos="6079"/>
              </w:tabs>
              <w:ind w:right="-2"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13 грудня 2017 року № 1026 «Про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довкілля»;</w:t>
            </w:r>
          </w:p>
          <w:p w:rsidR="00DE74E9" w:rsidRDefault="00DE74E9" w:rsidP="00982D3E">
            <w:pPr>
              <w:tabs>
                <w:tab w:val="left" w:pos="5939"/>
                <w:tab w:val="left" w:pos="6079"/>
              </w:tabs>
              <w:ind w:right="-2"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13 грудня 2017 року № 1010 «Про затвердження критеріїв визначення планованої діяльності, яка не підлягає оцінці впливу на довкілля, та критеріїв визначення розширень і змін діяльності </w:t>
            </w:r>
            <w:r>
              <w:rPr>
                <w:sz w:val="28"/>
                <w:szCs w:val="28"/>
              </w:rPr>
              <w:lastRenderedPageBreak/>
              <w:t>та об’єктів, які не підлягають оцінці впливу на довкілля»;</w:t>
            </w:r>
          </w:p>
          <w:p w:rsidR="00DE74E9" w:rsidRPr="00DE74E9" w:rsidRDefault="00DE74E9" w:rsidP="00982D3E">
            <w:pPr>
              <w:tabs>
                <w:tab w:val="left" w:pos="5939"/>
                <w:tab w:val="left" w:pos="6079"/>
              </w:tabs>
              <w:ind w:right="-2"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18 грудня 1998 року № 2024 «Про правовий режим зон санітарної охорони водних об’єктів»</w:t>
            </w:r>
          </w:p>
          <w:p w:rsidR="00982D3E" w:rsidRDefault="00982D3E" w:rsidP="001C27AC">
            <w:pPr>
              <w:tabs>
                <w:tab w:val="left" w:pos="5939"/>
                <w:tab w:val="left" w:pos="6079"/>
              </w:tabs>
              <w:ind w:right="-2" w:firstLine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</w:t>
            </w:r>
            <w:r w:rsidR="001C27AC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виконавчого органу Київської міської ради (Київської міської де</w:t>
            </w:r>
            <w:r w:rsidR="001C27AC">
              <w:rPr>
                <w:sz w:val="28"/>
                <w:szCs w:val="28"/>
              </w:rPr>
              <w:t xml:space="preserve">ржавної адміністрації) </w:t>
            </w:r>
            <w:r>
              <w:rPr>
                <w:sz w:val="28"/>
                <w:szCs w:val="28"/>
              </w:rPr>
              <w:t>від 08 жовтня 2013 року № 1810 «Про затвердження Регламенту виконавчого органу Київської міської ради (Київської міської державної адміністрації)»;</w:t>
            </w:r>
          </w:p>
          <w:p w:rsidR="00982D3E" w:rsidRDefault="00982D3E" w:rsidP="00982D3E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Положення про </w:t>
            </w:r>
            <w:r w:rsidR="00F50DA9">
              <w:rPr>
                <w:sz w:val="28"/>
                <w:szCs w:val="28"/>
              </w:rPr>
              <w:t>Управління екології та природних ресурсів</w:t>
            </w:r>
            <w:r w:rsidRPr="00180350">
              <w:rPr>
                <w:sz w:val="28"/>
                <w:szCs w:val="28"/>
              </w:rPr>
              <w:t xml:space="preserve"> виконавчого органу Київської міської ради (Київської міської державної адміністрації)</w:t>
            </w:r>
            <w:r>
              <w:rPr>
                <w:sz w:val="28"/>
                <w:szCs w:val="28"/>
              </w:rPr>
              <w:t xml:space="preserve">, затвердженого розпорядженням виконавчого органу Київської міської ради (Київської міської державної адміністрації) від </w:t>
            </w:r>
            <w:r w:rsidR="00F50DA9">
              <w:rPr>
                <w:sz w:val="28"/>
                <w:szCs w:val="28"/>
              </w:rPr>
              <w:t>11 грудня</w:t>
            </w:r>
            <w:r>
              <w:rPr>
                <w:sz w:val="28"/>
                <w:szCs w:val="28"/>
              </w:rPr>
              <w:t xml:space="preserve"> 201</w:t>
            </w:r>
            <w:r w:rsidR="00F50D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року № 1</w:t>
            </w:r>
            <w:r w:rsidR="00F50DA9">
              <w:rPr>
                <w:sz w:val="28"/>
                <w:szCs w:val="28"/>
              </w:rPr>
              <w:t>599</w:t>
            </w:r>
            <w:r w:rsidR="00DE74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82D3E" w:rsidRDefault="00DE74E9" w:rsidP="000F6DBA">
            <w:pPr>
              <w:tabs>
                <w:tab w:val="left" w:pos="5939"/>
                <w:tab w:val="left" w:pos="6079"/>
              </w:tabs>
              <w:ind w:right="-2" w:firstLine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333CD">
              <w:rPr>
                <w:sz w:val="28"/>
                <w:szCs w:val="28"/>
              </w:rPr>
              <w:t>ормативно-правов</w:t>
            </w:r>
            <w:r>
              <w:rPr>
                <w:sz w:val="28"/>
                <w:szCs w:val="28"/>
              </w:rPr>
              <w:t>их</w:t>
            </w:r>
            <w:r w:rsidRPr="009333CD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 xml:space="preserve">ів у </w:t>
            </w:r>
            <w:r w:rsidRPr="006D66DD">
              <w:rPr>
                <w:sz w:val="28"/>
                <w:szCs w:val="28"/>
                <w:shd w:val="clear" w:color="auto" w:fill="FFFFFF"/>
              </w:rPr>
              <w:t xml:space="preserve">сфері </w:t>
            </w:r>
            <w:r>
              <w:rPr>
                <w:sz w:val="28"/>
                <w:szCs w:val="28"/>
                <w:shd w:val="clear" w:color="auto" w:fill="FFFFFF"/>
              </w:rPr>
              <w:t xml:space="preserve">екології та охорони </w:t>
            </w:r>
            <w:r w:rsidR="000F6DBA">
              <w:rPr>
                <w:sz w:val="28"/>
                <w:szCs w:val="28"/>
                <w:shd w:val="clear" w:color="auto" w:fill="FFFFFF"/>
              </w:rPr>
              <w:t>навколишнього середовища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2D3E" w:rsidRDefault="00982D3E" w:rsidP="00982D3E">
      <w:pPr>
        <w:rPr>
          <w:sz w:val="28"/>
          <w:szCs w:val="28"/>
        </w:rPr>
      </w:pPr>
    </w:p>
    <w:p w:rsidR="00982D3E" w:rsidRDefault="00982D3E" w:rsidP="00982D3E">
      <w:pPr>
        <w:rPr>
          <w:sz w:val="28"/>
          <w:szCs w:val="28"/>
        </w:rPr>
      </w:pPr>
    </w:p>
    <w:p w:rsidR="00982D3E" w:rsidRDefault="00982D3E" w:rsidP="00982D3E">
      <w:pPr>
        <w:rPr>
          <w:sz w:val="28"/>
          <w:szCs w:val="28"/>
        </w:rPr>
      </w:pPr>
      <w:r>
        <w:rPr>
          <w:sz w:val="28"/>
          <w:szCs w:val="28"/>
        </w:rPr>
        <w:t xml:space="preserve">Виконувач </w:t>
      </w:r>
      <w:proofErr w:type="spellStart"/>
      <w:r>
        <w:rPr>
          <w:sz w:val="28"/>
          <w:szCs w:val="28"/>
        </w:rPr>
        <w:t>обов</w:t>
      </w:r>
      <w:proofErr w:type="spellEnd"/>
      <w:r w:rsidRPr="00982D3E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 xml:space="preserve"> </w:t>
      </w:r>
    </w:p>
    <w:p w:rsidR="00EC3903" w:rsidRDefault="00982D3E" w:rsidP="00982D3E">
      <w:r>
        <w:rPr>
          <w:sz w:val="28"/>
          <w:szCs w:val="28"/>
        </w:rPr>
        <w:t>керівника апарату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 Верес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C3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909"/>
    <w:multiLevelType w:val="hybridMultilevel"/>
    <w:tmpl w:val="84C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437A"/>
    <w:multiLevelType w:val="hybridMultilevel"/>
    <w:tmpl w:val="E78810C8"/>
    <w:lvl w:ilvl="0" w:tplc="0422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E6F0C0B"/>
    <w:multiLevelType w:val="hybridMultilevel"/>
    <w:tmpl w:val="9B00D8D8"/>
    <w:lvl w:ilvl="0" w:tplc="C6424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2530"/>
    <w:multiLevelType w:val="hybridMultilevel"/>
    <w:tmpl w:val="9CD0513A"/>
    <w:lvl w:ilvl="0" w:tplc="693C896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B74F9"/>
    <w:multiLevelType w:val="hybridMultilevel"/>
    <w:tmpl w:val="B32E9320"/>
    <w:lvl w:ilvl="0" w:tplc="C7268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8B"/>
    <w:rsid w:val="000F6DBA"/>
    <w:rsid w:val="001B4623"/>
    <w:rsid w:val="001C27AC"/>
    <w:rsid w:val="00202508"/>
    <w:rsid w:val="0024291B"/>
    <w:rsid w:val="0024538B"/>
    <w:rsid w:val="002B20E2"/>
    <w:rsid w:val="00302072"/>
    <w:rsid w:val="0030245B"/>
    <w:rsid w:val="00686980"/>
    <w:rsid w:val="0070307C"/>
    <w:rsid w:val="008C1427"/>
    <w:rsid w:val="008E25A1"/>
    <w:rsid w:val="00967D4B"/>
    <w:rsid w:val="00982D3E"/>
    <w:rsid w:val="00B7580D"/>
    <w:rsid w:val="00C12F56"/>
    <w:rsid w:val="00CA16BD"/>
    <w:rsid w:val="00DB20B5"/>
    <w:rsid w:val="00DE0BA2"/>
    <w:rsid w:val="00DE74E9"/>
    <w:rsid w:val="00E435C5"/>
    <w:rsid w:val="00EC3903"/>
    <w:rsid w:val="00F50DA9"/>
    <w:rsid w:val="00F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2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D3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semiHidden/>
    <w:rsid w:val="00982D3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uiPriority w:val="99"/>
    <w:semiHidden/>
    <w:rsid w:val="00982D3E"/>
    <w:pPr>
      <w:spacing w:before="120"/>
      <w:ind w:firstLine="567"/>
    </w:pPr>
    <w:rPr>
      <w:rFonts w:ascii="Antiqua" w:hAnsi="Antiqua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302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7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8C1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2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D3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uiPriority w:val="99"/>
    <w:semiHidden/>
    <w:rsid w:val="00982D3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Нормальний текст"/>
    <w:basedOn w:val="a"/>
    <w:uiPriority w:val="99"/>
    <w:semiHidden/>
    <w:rsid w:val="00982D3E"/>
    <w:pPr>
      <w:spacing w:before="120"/>
      <w:ind w:firstLine="567"/>
    </w:pPr>
    <w:rPr>
      <w:rFonts w:ascii="Antiqua" w:hAnsi="Antiqua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302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7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8C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km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2018-06-12T07:33:00Z</cp:lastPrinted>
  <dcterms:created xsi:type="dcterms:W3CDTF">2018-03-05T13:34:00Z</dcterms:created>
  <dcterms:modified xsi:type="dcterms:W3CDTF">2018-06-15T11:45:00Z</dcterms:modified>
</cp:coreProperties>
</file>