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45" w:rsidRPr="00D90F45" w:rsidRDefault="00D90F45" w:rsidP="00D90F45">
      <w:pPr>
        <w:ind w:left="4536"/>
        <w:rPr>
          <w:rFonts w:ascii="Times New Roman" w:hAnsi="Times New Roman" w:cs="Times New Roman"/>
          <w:sz w:val="28"/>
        </w:rPr>
      </w:pPr>
      <w:r w:rsidRPr="00D90F45">
        <w:rPr>
          <w:rFonts w:ascii="Times New Roman" w:hAnsi="Times New Roman" w:cs="Times New Roman"/>
          <w:sz w:val="28"/>
        </w:rPr>
        <w:t>Додаток 1</w:t>
      </w:r>
      <w:r>
        <w:rPr>
          <w:rFonts w:ascii="Times New Roman" w:hAnsi="Times New Roman" w:cs="Times New Roman"/>
          <w:sz w:val="28"/>
        </w:rPr>
        <w:t>2</w:t>
      </w:r>
    </w:p>
    <w:p w:rsidR="00D90F45" w:rsidRPr="00D90F45" w:rsidRDefault="00D90F45" w:rsidP="00D90F45">
      <w:pPr>
        <w:ind w:left="4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F45">
        <w:rPr>
          <w:rFonts w:ascii="Times New Roman" w:hAnsi="Times New Roman" w:cs="Times New Roman"/>
          <w:sz w:val="28"/>
          <w:szCs w:val="28"/>
        </w:rPr>
        <w:t>до рішення Київської міської ради</w:t>
      </w:r>
      <w:r w:rsidR="0055197B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2021 рік»</w:t>
      </w:r>
      <w:r w:rsidRPr="00D90F45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D9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45" w:rsidRPr="00D90F45" w:rsidRDefault="007C01EB" w:rsidP="00D90F45">
      <w:pPr>
        <w:tabs>
          <w:tab w:val="left" w:pos="1944"/>
          <w:tab w:val="left" w:pos="2995"/>
          <w:tab w:val="left" w:pos="4186"/>
          <w:tab w:val="left" w:pos="5760"/>
          <w:tab w:val="left" w:pos="6850"/>
          <w:tab w:val="left" w:pos="7800"/>
          <w:tab w:val="left" w:pos="8808"/>
          <w:tab w:val="left" w:pos="9715"/>
        </w:tabs>
        <w:ind w:left="450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від 24.12.2020 №24/24</w:t>
      </w:r>
      <w:bookmarkStart w:id="0" w:name="_GoBack"/>
      <w:bookmarkEnd w:id="0"/>
    </w:p>
    <w:p w:rsidR="00D90F45" w:rsidRPr="008560E2" w:rsidRDefault="00D90F45" w:rsidP="00D90F45">
      <w:pPr>
        <w:tabs>
          <w:tab w:val="left" w:pos="1944"/>
          <w:tab w:val="left" w:pos="2995"/>
          <w:tab w:val="left" w:pos="4186"/>
          <w:tab w:val="left" w:pos="5688"/>
          <w:tab w:val="left" w:pos="6850"/>
          <w:tab w:val="left" w:pos="7800"/>
          <w:tab w:val="left" w:pos="8808"/>
          <w:tab w:val="left" w:pos="9715"/>
        </w:tabs>
        <w:rPr>
          <w:snapToGrid w:val="0"/>
          <w:color w:val="000000"/>
          <w:sz w:val="28"/>
          <w:szCs w:val="28"/>
        </w:rPr>
      </w:pPr>
      <w:r w:rsidRPr="008560E2">
        <w:rPr>
          <w:snapToGrid w:val="0"/>
          <w:color w:val="000000"/>
          <w:sz w:val="28"/>
          <w:szCs w:val="28"/>
        </w:rPr>
        <w:tab/>
      </w:r>
    </w:p>
    <w:p w:rsidR="000476D8" w:rsidRPr="000476D8" w:rsidRDefault="000476D8" w:rsidP="000476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76D8">
        <w:rPr>
          <w:rFonts w:ascii="Times New Roman" w:hAnsi="Times New Roman" w:cs="Times New Roman"/>
          <w:sz w:val="24"/>
          <w:szCs w:val="24"/>
          <w:u w:val="single"/>
        </w:rPr>
        <w:t>26000000000</w:t>
      </w:r>
    </w:p>
    <w:p w:rsidR="00F31FAA" w:rsidRDefault="000476D8" w:rsidP="0004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D8">
        <w:rPr>
          <w:rFonts w:ascii="Times New Roman" w:hAnsi="Times New Roman" w:cs="Times New Roman"/>
          <w:sz w:val="24"/>
          <w:szCs w:val="24"/>
        </w:rPr>
        <w:t>(код бюджету)</w:t>
      </w:r>
    </w:p>
    <w:p w:rsidR="00D90F45" w:rsidRDefault="00D90F45" w:rsidP="0004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45" w:rsidRDefault="00D90F45" w:rsidP="0004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BC4" w:rsidRPr="009B06A5" w:rsidRDefault="00FB2BC4" w:rsidP="000476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FAA" w:rsidRPr="00D90F45" w:rsidRDefault="001069EB" w:rsidP="00F3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45">
        <w:rPr>
          <w:rFonts w:ascii="Times New Roman" w:hAnsi="Times New Roman" w:cs="Times New Roman"/>
          <w:b/>
          <w:sz w:val="28"/>
          <w:szCs w:val="28"/>
        </w:rPr>
        <w:t xml:space="preserve">Формула </w:t>
      </w:r>
      <w:r w:rsidR="0096087D" w:rsidRPr="00D90F45">
        <w:rPr>
          <w:rFonts w:ascii="Times New Roman" w:hAnsi="Times New Roman" w:cs="Times New Roman"/>
          <w:b/>
          <w:sz w:val="28"/>
          <w:szCs w:val="28"/>
        </w:rPr>
        <w:t>розподілу</w:t>
      </w:r>
      <w:r w:rsidR="00BD3E10" w:rsidRPr="00D90F45">
        <w:rPr>
          <w:rFonts w:ascii="Times New Roman" w:hAnsi="Times New Roman" w:cs="Times New Roman"/>
          <w:b/>
          <w:sz w:val="28"/>
          <w:szCs w:val="28"/>
        </w:rPr>
        <w:t xml:space="preserve"> видатків </w:t>
      </w:r>
      <w:r w:rsidR="0096087D" w:rsidRPr="00D90F45">
        <w:rPr>
          <w:rFonts w:ascii="Times New Roman" w:hAnsi="Times New Roman" w:cs="Times New Roman"/>
          <w:b/>
          <w:sz w:val="28"/>
          <w:szCs w:val="28"/>
        </w:rPr>
        <w:t xml:space="preserve">бюджету міста Києва </w:t>
      </w:r>
    </w:p>
    <w:p w:rsidR="00BD3E10" w:rsidRPr="00D90F45" w:rsidRDefault="00260ACC" w:rsidP="00F3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45">
        <w:rPr>
          <w:rFonts w:ascii="Times New Roman" w:hAnsi="Times New Roman" w:cs="Times New Roman"/>
          <w:b/>
          <w:sz w:val="28"/>
          <w:szCs w:val="28"/>
        </w:rPr>
        <w:t xml:space="preserve">на організацію </w:t>
      </w:r>
      <w:r w:rsidR="00BD3E10" w:rsidRPr="00D90F45">
        <w:rPr>
          <w:rFonts w:ascii="Times New Roman" w:hAnsi="Times New Roman" w:cs="Times New Roman"/>
          <w:b/>
          <w:sz w:val="28"/>
          <w:szCs w:val="28"/>
        </w:rPr>
        <w:t>навчального процесу в закладах загальної середньої освіти</w:t>
      </w:r>
    </w:p>
    <w:p w:rsidR="00F31FAA" w:rsidRPr="00D90F45" w:rsidRDefault="00F31FAA" w:rsidP="00F3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10" w:rsidRPr="00D90F45" w:rsidRDefault="001069EB" w:rsidP="009B0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Формула</w:t>
      </w:r>
      <w:r w:rsidR="0096087D" w:rsidRPr="00D90F45">
        <w:rPr>
          <w:rFonts w:ascii="Times New Roman" w:hAnsi="Times New Roman" w:cs="Times New Roman"/>
          <w:sz w:val="28"/>
          <w:szCs w:val="28"/>
        </w:rPr>
        <w:t xml:space="preserve"> розподілу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видатків </w:t>
      </w:r>
      <w:r w:rsidR="0096087D" w:rsidRPr="00D90F45">
        <w:rPr>
          <w:rFonts w:ascii="Times New Roman" w:hAnsi="Times New Roman" w:cs="Times New Roman"/>
          <w:sz w:val="28"/>
          <w:szCs w:val="28"/>
        </w:rPr>
        <w:t xml:space="preserve">бюджету міста Києва </w:t>
      </w:r>
      <w:r w:rsidR="00BD3E10" w:rsidRPr="00D90F45">
        <w:rPr>
          <w:rFonts w:ascii="Times New Roman" w:hAnsi="Times New Roman" w:cs="Times New Roman"/>
          <w:sz w:val="28"/>
          <w:szCs w:val="28"/>
        </w:rPr>
        <w:t>на органі</w:t>
      </w:r>
      <w:r w:rsidR="0096087D" w:rsidRPr="00D90F45">
        <w:rPr>
          <w:rFonts w:ascii="Times New Roman" w:hAnsi="Times New Roman" w:cs="Times New Roman"/>
          <w:sz w:val="28"/>
          <w:szCs w:val="28"/>
        </w:rPr>
        <w:t>зацію навчального процесу в закладах загальної середньої освіти (далі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-</w:t>
      </w:r>
      <w:r w:rsidR="0096087D" w:rsidRPr="00D90F45">
        <w:rPr>
          <w:rFonts w:ascii="Times New Roman" w:hAnsi="Times New Roman" w:cs="Times New Roman"/>
          <w:sz w:val="28"/>
          <w:szCs w:val="28"/>
        </w:rPr>
        <w:t xml:space="preserve"> ЗЗСО)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передбачає визначення рівня бюджетної забезпеченості 1 учня окремого закладу загальної середньої освіти в частині створення і підтримки умов реалізації освітнього процесу та його приведення до середнього по регіону з урахуванням критеріїв, які впливають на утримання закладу освіти та забезпечення ним учбового процесу.</w:t>
      </w:r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Визначення обсягу видатків на організацію навчального процесу в закладах загальної середньої освіти відбувається за осно</w:t>
      </w:r>
      <w:r w:rsidR="0096087D" w:rsidRPr="00D90F45">
        <w:rPr>
          <w:rFonts w:ascii="Times New Roman" w:hAnsi="Times New Roman" w:cs="Times New Roman"/>
          <w:sz w:val="28"/>
          <w:szCs w:val="28"/>
        </w:rPr>
        <w:t>вними етапами:</w:t>
      </w:r>
    </w:p>
    <w:p w:rsidR="00BD3E10" w:rsidRPr="00D90F45" w:rsidRDefault="004E488E" w:rsidP="004E488E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1.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Обчислення середнього по місту</w:t>
      </w:r>
      <w:r w:rsidR="00BD3E10" w:rsidRPr="00D90F45">
        <w:rPr>
          <w:rFonts w:ascii="Times New Roman" w:hAnsi="Times New Roman" w:cs="Times New Roman"/>
          <w:sz w:val="28"/>
          <w:szCs w:val="28"/>
        </w:rPr>
        <w:t> Києву рівня бюджетної забезпеченості 1 учня закладу загальної середньої освіти за формулою:</w:t>
      </w:r>
    </w:p>
    <w:p w:rsidR="00BD3E10" w:rsidRPr="00F31FAA" w:rsidRDefault="007C01EB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БЗ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ЗФ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ЗЧУ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факт</m:t>
                  </m:r>
                </m:sub>
              </m:sSub>
            </m:den>
          </m:f>
        </m:oMath>
      </m:oMathPara>
    </w:p>
    <w:p w:rsidR="00BD3E10" w:rsidRPr="00D90F45" w:rsidRDefault="004E488E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д</w:t>
      </w:r>
      <w:r w:rsidR="00BD3E10" w:rsidRPr="00D90F45">
        <w:rPr>
          <w:rFonts w:ascii="Times New Roman" w:hAnsi="Times New Roman" w:cs="Times New Roman"/>
          <w:sz w:val="28"/>
          <w:szCs w:val="28"/>
        </w:rPr>
        <w:t>е</w:t>
      </w:r>
      <w:r w:rsidRPr="00D90F45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ЗФ</m:t>
        </m:r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обсяг видатків загальн</w:t>
      </w:r>
      <w:r w:rsidR="009B06A5" w:rsidRPr="00D90F45">
        <w:rPr>
          <w:rFonts w:ascii="Times New Roman" w:hAnsi="Times New Roman" w:cs="Times New Roman"/>
          <w:sz w:val="28"/>
          <w:szCs w:val="28"/>
        </w:rPr>
        <w:t>ого фонду, затверджений на 01 січня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поточного бюджетного періоду, який включає витрати на організацію навчальног</w:t>
      </w:r>
      <w:r w:rsidR="001069EB" w:rsidRPr="00D90F45">
        <w:rPr>
          <w:rFonts w:ascii="Times New Roman" w:hAnsi="Times New Roman" w:cs="Times New Roman"/>
          <w:sz w:val="28"/>
          <w:szCs w:val="28"/>
        </w:rPr>
        <w:t>о процесу (поточне утримання</w:t>
      </w:r>
      <w:r w:rsidR="00BD3E10" w:rsidRPr="00D90F45">
        <w:rPr>
          <w:rFonts w:ascii="Times New Roman" w:hAnsi="Times New Roman" w:cs="Times New Roman"/>
          <w:sz w:val="28"/>
          <w:szCs w:val="28"/>
        </w:rPr>
        <w:t>);</w:t>
      </w:r>
    </w:p>
    <w:p w:rsidR="00BD3E10" w:rsidRPr="00D90F45" w:rsidRDefault="007C01EB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ЗЧУ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загальна чисельність учнів, обчислена як сума контингентів заклад</w:t>
      </w:r>
      <w:r w:rsidR="009B06A5" w:rsidRPr="00D90F45">
        <w:rPr>
          <w:rFonts w:ascii="Times New Roman" w:hAnsi="Times New Roman" w:cs="Times New Roman"/>
          <w:sz w:val="28"/>
          <w:szCs w:val="28"/>
        </w:rPr>
        <w:t>ів загальної середньої освіти міста</w:t>
      </w:r>
      <w:r w:rsidR="00BD3E10" w:rsidRPr="00D90F45">
        <w:rPr>
          <w:rFonts w:ascii="Times New Roman" w:hAnsi="Times New Roman" w:cs="Times New Roman"/>
          <w:sz w:val="28"/>
          <w:szCs w:val="28"/>
        </w:rPr>
        <w:t> Києва, затверджених відповідними розпорядженнями районних у місті Києві державних адміністрацій «Про мережу та режими роботи закладів загальної середньої освіти (класів і груп у них) комунальної форми власності на поточний навчальний рік».</w:t>
      </w:r>
    </w:p>
    <w:p w:rsidR="00BD3E10" w:rsidRPr="00D90F45" w:rsidRDefault="004E488E" w:rsidP="004E488E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2.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Визначення приведеної кількості учнів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ЧУпрв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3E10" w:rsidRPr="00D9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>для окремого ЗЗСО. Для цього фактичну кількість учнів в класах закладу необхідно корегувати на нормативну наповнюваність класу. Приведена кількість учнів визначається ві</w:t>
      </w:r>
      <w:r w:rsidR="009B06A5" w:rsidRPr="00D90F45">
        <w:rPr>
          <w:rFonts w:ascii="Times New Roman" w:hAnsi="Times New Roman" w:cs="Times New Roman"/>
          <w:sz w:val="28"/>
          <w:szCs w:val="28"/>
        </w:rPr>
        <w:t>дповідно до пункту 2 статті 12 З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акону 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BD3E10" w:rsidRPr="00D90F45">
        <w:rPr>
          <w:rFonts w:ascii="Times New Roman" w:hAnsi="Times New Roman" w:cs="Times New Roman"/>
          <w:sz w:val="28"/>
          <w:szCs w:val="28"/>
        </w:rPr>
        <w:t>«Про повну загальну середню освіту», згідно з яким нормативна наповнюваність класів для початкової школи не може становити більше 24 осіб, для базової та профільної – 30 осіб на клас. Показник приведеної кількості учнів для окремого ЗЗСО</w:t>
      </w:r>
      <w:r w:rsidR="00BD3E10" w:rsidRPr="00D9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>розраховується за формулою:</w:t>
      </w:r>
    </w:p>
    <w:p w:rsidR="00BD3E10" w:rsidRPr="00F31FAA" w:rsidRDefault="007C01EB" w:rsidP="00BD3E1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ЧУпрв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ЧУпоч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НКпоч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ЧУбаз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30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НКбаз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+ЧУпроф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30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НКпроф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</m:den>
          </m:f>
        </m:oMath>
      </m:oMathPara>
    </w:p>
    <w:p w:rsidR="00BD3E10" w:rsidRPr="00D90F45" w:rsidRDefault="004E488E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bCs/>
          <w:sz w:val="28"/>
          <w:szCs w:val="28"/>
        </w:rPr>
        <w:t>д</w:t>
      </w:r>
      <w:r w:rsidR="00BD3E10" w:rsidRPr="00D90F45">
        <w:rPr>
          <w:rFonts w:ascii="Times New Roman" w:hAnsi="Times New Roman" w:cs="Times New Roman"/>
          <w:bCs/>
          <w:sz w:val="28"/>
          <w:szCs w:val="28"/>
        </w:rPr>
        <w:t>е</w:t>
      </w:r>
      <w:r w:rsidRPr="00D90F45">
        <w:rPr>
          <w:rFonts w:ascii="Times New Roman" w:hAnsi="Times New Roman" w:cs="Times New Roman"/>
          <w:bCs/>
          <w:sz w:val="28"/>
          <w:szCs w:val="28"/>
        </w:rPr>
        <w:t>:</w:t>
      </w:r>
      <w:r w:rsidR="00BD3E10" w:rsidRPr="00D90F45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НКпоч (баз, проф)</m:t>
        </m:r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фактична наповнюваність класів на початковому, базовому та профільному рівнях повної загальної середньої освіти </w:t>
      </w:r>
      <w:r w:rsidR="00BD3E10" w:rsidRPr="00D90F45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закладу освіти.</w:t>
      </w:r>
    </w:p>
    <w:p w:rsidR="00BD3E10" w:rsidRPr="00D90F45" w:rsidRDefault="004E488E" w:rsidP="004E488E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3.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Визначення розрахункової наповнюваності класу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РНК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для окремого ЗЗСО. Для цього приведену кількість учнів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ЧУпрв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3E10" w:rsidRPr="00D9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bCs/>
          <w:sz w:val="28"/>
          <w:szCs w:val="28"/>
        </w:rPr>
        <w:t xml:space="preserve">окремого закладу </w:t>
      </w:r>
      <w:r w:rsidR="00BD3E10" w:rsidRPr="00D90F45">
        <w:rPr>
          <w:rFonts w:ascii="Times New Roman" w:hAnsi="Times New Roman" w:cs="Times New Roman"/>
          <w:sz w:val="28"/>
          <w:szCs w:val="28"/>
        </w:rPr>
        <w:t>необхідно віднести до фактичної кількості сформованих в цьому закладі класів. Показник розрахункової наповнюваності класів обчислюється за формулою:</w:t>
      </w:r>
    </w:p>
    <w:p w:rsidR="00BD3E10" w:rsidRPr="00F31FAA" w:rsidRDefault="007C01EB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РНК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і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ЧУпрв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КК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den>
          </m:f>
        </m:oMath>
      </m:oMathPara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Pr="00D90F45">
        <w:rPr>
          <w:rFonts w:ascii="Times New Roman" w:hAnsi="Times New Roman" w:cs="Times New Roman"/>
          <w:sz w:val="28"/>
          <w:szCs w:val="28"/>
        </w:rPr>
        <w:t xml:space="preserve"> – фактична кількість сформованих класів в окремому закладі освіти.</w:t>
      </w:r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 xml:space="preserve">Середня розрахункова наповнюваність класів по місту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РНК</m:t>
            </m:r>
          </m:e>
        </m:acc>
      </m:oMath>
      <w:r w:rsidRPr="00D90F45">
        <w:rPr>
          <w:rFonts w:ascii="Times New Roman" w:hAnsi="Times New Roman" w:cs="Times New Roman"/>
          <w:sz w:val="28"/>
          <w:szCs w:val="28"/>
        </w:rPr>
        <w:t xml:space="preserve"> обчислюється як відношення приведеної кількості учнів міста та фактичної </w:t>
      </w:r>
      <w:r w:rsidR="009B06A5" w:rsidRPr="00D90F45">
        <w:rPr>
          <w:rFonts w:ascii="Times New Roman" w:hAnsi="Times New Roman" w:cs="Times New Roman"/>
          <w:sz w:val="28"/>
          <w:szCs w:val="28"/>
        </w:rPr>
        <w:t>кількості сформованих по ЗЗСО міста</w:t>
      </w:r>
      <w:r w:rsidRPr="00D90F45">
        <w:rPr>
          <w:rFonts w:ascii="Times New Roman" w:hAnsi="Times New Roman" w:cs="Times New Roman"/>
          <w:sz w:val="28"/>
          <w:szCs w:val="28"/>
        </w:rPr>
        <w:t> Києва класів за формулою:</w:t>
      </w:r>
    </w:p>
    <w:p w:rsidR="00BD3E10" w:rsidRPr="00F31FAA" w:rsidRDefault="007C01EB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РНК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ЗЧУ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прв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ЗКК</m:t>
              </m:r>
            </m:den>
          </m:f>
        </m:oMath>
      </m:oMathPara>
    </w:p>
    <w:p w:rsidR="00BD3E10" w:rsidRPr="00D90F45" w:rsidRDefault="004E488E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 xml:space="preserve">де: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ЗЧУ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прв</m:t>
            </m:r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загальний обсяг приведеної кі</w:t>
      </w:r>
      <w:r w:rsidR="009B06A5" w:rsidRPr="00D90F45">
        <w:rPr>
          <w:rFonts w:ascii="Times New Roman" w:hAnsi="Times New Roman" w:cs="Times New Roman"/>
          <w:sz w:val="28"/>
          <w:szCs w:val="28"/>
        </w:rPr>
        <w:t>лькості учнів, обчислений для міста</w:t>
      </w:r>
      <w:r w:rsidR="00BD3E10" w:rsidRPr="00D90F45">
        <w:rPr>
          <w:rFonts w:ascii="Times New Roman" w:hAnsi="Times New Roman" w:cs="Times New Roman"/>
          <w:sz w:val="28"/>
          <w:szCs w:val="28"/>
        </w:rPr>
        <w:t> Києва;</w:t>
      </w:r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ЗКК</m:t>
        </m:r>
      </m:oMath>
      <w:r w:rsidRPr="00D90F45">
        <w:rPr>
          <w:rFonts w:ascii="Times New Roman" w:hAnsi="Times New Roman" w:cs="Times New Roman"/>
          <w:sz w:val="28"/>
          <w:szCs w:val="28"/>
        </w:rPr>
        <w:t xml:space="preserve"> – загальна фактична кількі</w:t>
      </w:r>
      <w:r w:rsidR="009B06A5" w:rsidRPr="00D90F45">
        <w:rPr>
          <w:rFonts w:ascii="Times New Roman" w:hAnsi="Times New Roman" w:cs="Times New Roman"/>
          <w:sz w:val="28"/>
          <w:szCs w:val="28"/>
        </w:rPr>
        <w:t>сть класів, сформована в ЗЗСО міста</w:t>
      </w:r>
      <w:r w:rsidRPr="00D90F45">
        <w:rPr>
          <w:rFonts w:ascii="Times New Roman" w:hAnsi="Times New Roman" w:cs="Times New Roman"/>
          <w:sz w:val="28"/>
          <w:szCs w:val="28"/>
        </w:rPr>
        <w:t> Києва.</w:t>
      </w:r>
    </w:p>
    <w:p w:rsidR="00BD3E10" w:rsidRPr="00D90F45" w:rsidRDefault="00114387" w:rsidP="00114387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4.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Визначення фактичної питомої площі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ПЛу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="00BD3E10" w:rsidRPr="00D9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окремого ЗЗСО. Для цього фактичну площу обслуговування закладу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sub>
            </m:sSub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="00BD3E10" w:rsidRPr="00D9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необхідно віднести до загального обсягу контингенту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ЧУ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закладу. Показник питомої площі на учня розраховується за формулою:</w:t>
      </w:r>
    </w:p>
    <w:p w:rsidR="00BD3E10" w:rsidRPr="00F31FAA" w:rsidRDefault="007C01EB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ПЛу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і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ПЛ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факт</m:t>
                      </m:r>
                    </m:sub>
                  </m:sSub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ЧУ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факт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</m:t>
                      </m:r>
                    </m:sub>
                  </m:sSub>
                </m:sub>
              </m:sSub>
            </m:den>
          </m:f>
        </m:oMath>
      </m:oMathPara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 xml:space="preserve">Середня питома площа по місту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ПЛу</m:t>
            </m:r>
          </m:e>
        </m:acc>
      </m:oMath>
      <w:r w:rsidRPr="00D90F45">
        <w:rPr>
          <w:rFonts w:ascii="Times New Roman" w:hAnsi="Times New Roman" w:cs="Times New Roman"/>
          <w:sz w:val="28"/>
          <w:szCs w:val="28"/>
        </w:rPr>
        <w:t xml:space="preserve"> обчислюється як відношення загальної площі обслуговування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заг</m:t>
                </m:r>
              </m:sub>
            </m:sSub>
          </m:sub>
        </m:sSub>
      </m:oMath>
      <w:r w:rsidRPr="00D90F45">
        <w:rPr>
          <w:rFonts w:ascii="Times New Roman" w:hAnsi="Times New Roman" w:cs="Times New Roman"/>
          <w:sz w:val="28"/>
          <w:szCs w:val="28"/>
        </w:rPr>
        <w:t xml:space="preserve"> та загального обсягу контингенту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ЗЧУ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b>
        </m:sSub>
      </m:oMath>
      <w:r w:rsidRPr="00D90F45">
        <w:rPr>
          <w:rFonts w:ascii="Times New Roman" w:hAnsi="Times New Roman" w:cs="Times New Roman"/>
          <w:sz w:val="28"/>
          <w:szCs w:val="28"/>
        </w:rPr>
        <w:t xml:space="preserve"> закладів за</w:t>
      </w:r>
      <w:r w:rsidR="00260ACC" w:rsidRPr="00D90F45">
        <w:rPr>
          <w:rFonts w:ascii="Times New Roman" w:hAnsi="Times New Roman" w:cs="Times New Roman"/>
          <w:sz w:val="28"/>
          <w:szCs w:val="28"/>
        </w:rPr>
        <w:t>гальної середньої освіти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міста</w:t>
      </w:r>
      <w:r w:rsidRPr="00D90F45">
        <w:rPr>
          <w:rFonts w:ascii="Times New Roman" w:hAnsi="Times New Roman" w:cs="Times New Roman"/>
          <w:sz w:val="28"/>
          <w:szCs w:val="28"/>
        </w:rPr>
        <w:t> Києва за формулою:</w:t>
      </w:r>
    </w:p>
    <w:p w:rsidR="00BD3E10" w:rsidRPr="00F31FAA" w:rsidRDefault="007C01EB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ПЛу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ПЛ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факт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заг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ЗЧУ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факт</m:t>
                  </m:r>
                </m:sub>
              </m:sSub>
            </m:den>
          </m:f>
        </m:oMath>
      </m:oMathPara>
    </w:p>
    <w:p w:rsidR="00BD3E10" w:rsidRPr="00D90F45" w:rsidRDefault="00114387" w:rsidP="004E488E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5</w:t>
      </w:r>
      <w:r w:rsidR="004E488E" w:rsidRPr="00D90F45">
        <w:rPr>
          <w:rFonts w:ascii="Times New Roman" w:hAnsi="Times New Roman" w:cs="Times New Roman"/>
          <w:sz w:val="28"/>
          <w:szCs w:val="28"/>
        </w:rPr>
        <w:t>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Коефіцієнт приведення видатків на організацію навчального процесу в окремому закладі освіти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рив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і</m:t>
                </m:r>
              </m:sub>
            </m:sSub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до середнього по регіону розраховується за формулою:</w:t>
      </w:r>
    </w:p>
    <w:p w:rsidR="00BD3E10" w:rsidRPr="00F31FAA" w:rsidRDefault="007C01EB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рив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НК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РНК</m:t>
                  </m:r>
                </m:e>
              </m:acc>
            </m:den>
          </m:f>
          <m:r>
            <w:rPr>
              <w:rFonts w:ascii="Cambria Math" w:hAnsi="Cambria Math" w:cs="Times New Roman"/>
              <w:sz w:val="26"/>
              <w:szCs w:val="26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ПЛу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ПЛу</m:t>
                  </m:r>
                </m:e>
              </m:acc>
            </m:den>
          </m:f>
        </m:oMath>
      </m:oMathPara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90F45">
        <w:rPr>
          <w:rFonts w:ascii="Times New Roman" w:hAnsi="Times New Roman" w:cs="Times New Roman"/>
          <w:sz w:val="28"/>
          <w:szCs w:val="28"/>
        </w:rPr>
        <w:t>– розрахункова наповнюваність класів окремого ЗЗСО;</w:t>
      </w:r>
    </w:p>
    <w:p w:rsidR="00BD3E10" w:rsidRPr="00D90F45" w:rsidRDefault="007C01EB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РНК</m:t>
            </m:r>
          </m:e>
        </m:acc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середня розрахункова </w:t>
      </w:r>
      <w:r w:rsidR="009B06A5" w:rsidRPr="00D90F45">
        <w:rPr>
          <w:rFonts w:ascii="Times New Roman" w:hAnsi="Times New Roman" w:cs="Times New Roman"/>
          <w:sz w:val="28"/>
          <w:szCs w:val="28"/>
        </w:rPr>
        <w:t>наповнюваність класів по ЗЗСО міста</w:t>
      </w:r>
      <w:r w:rsidR="00BD3E10" w:rsidRPr="00D90F45">
        <w:rPr>
          <w:rFonts w:ascii="Times New Roman" w:hAnsi="Times New Roman" w:cs="Times New Roman"/>
          <w:sz w:val="28"/>
          <w:szCs w:val="28"/>
        </w:rPr>
        <w:t> Києва;</w:t>
      </w:r>
    </w:p>
    <w:p w:rsidR="00BD3E10" w:rsidRPr="00D90F45" w:rsidRDefault="007C01EB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ПЛу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площа на 1 учня </w:t>
      </w:r>
      <w:r w:rsidR="00BD3E10" w:rsidRPr="00D90F45">
        <w:rPr>
          <w:rFonts w:ascii="Times New Roman" w:hAnsi="Times New Roman" w:cs="Times New Roman"/>
          <w:b/>
          <w:i/>
          <w:sz w:val="28"/>
          <w:szCs w:val="28"/>
        </w:rPr>
        <w:t>і-го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ЗЗСО;</w:t>
      </w:r>
    </w:p>
    <w:p w:rsidR="00BD3E10" w:rsidRPr="00D90F45" w:rsidRDefault="007C01EB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ПЛу</m:t>
            </m:r>
          </m:e>
        </m:acc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середній показн</w:t>
      </w:r>
      <w:r w:rsidR="009B06A5" w:rsidRPr="00D90F45">
        <w:rPr>
          <w:rFonts w:ascii="Times New Roman" w:hAnsi="Times New Roman" w:cs="Times New Roman"/>
          <w:sz w:val="28"/>
          <w:szCs w:val="28"/>
        </w:rPr>
        <w:t>ик площі на 1 учня по ЗЗСО міста</w:t>
      </w:r>
      <w:r w:rsidR="00BD3E10" w:rsidRPr="00D90F45">
        <w:rPr>
          <w:rFonts w:ascii="Times New Roman" w:hAnsi="Times New Roman" w:cs="Times New Roman"/>
          <w:sz w:val="28"/>
          <w:szCs w:val="28"/>
        </w:rPr>
        <w:t> Києва.</w:t>
      </w:r>
    </w:p>
    <w:p w:rsidR="00BD3E10" w:rsidRPr="00D90F45" w:rsidRDefault="004E488E" w:rsidP="004E488E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6.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Визначення обсягу бюджетного фінансового забезпечення окремого закладу освіти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ФЗЗСО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з урахуванням коефіцієнту приведення здійснюється за формулою:</w:t>
      </w:r>
    </w:p>
    <w:p w:rsidR="00BD3E10" w:rsidRPr="00D90F45" w:rsidRDefault="007C01EB" w:rsidP="00BD3E10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ФЗЗСО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БЗ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ЧУфакт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рив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і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І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</m:oMath>
      </m:oMathPara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де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Pr="00D90F45">
        <w:rPr>
          <w:rFonts w:ascii="Times New Roman" w:hAnsi="Times New Roman" w:cs="Times New Roman"/>
          <w:sz w:val="28"/>
          <w:szCs w:val="28"/>
        </w:rPr>
        <w:t xml:space="preserve"> – прогнозний індекс споживчих цін у плановому (прогнозному) бюджетному періоді, визначений в установленому порядку.</w:t>
      </w:r>
    </w:p>
    <w:p w:rsidR="00D90F45" w:rsidRDefault="00D90F45" w:rsidP="00BD3E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F45" w:rsidRDefault="00D90F45" w:rsidP="00BD3E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F45" w:rsidRDefault="00D90F45" w:rsidP="00BD3E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F45" w:rsidRDefault="00D90F45" w:rsidP="00BD3E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F45" w:rsidRDefault="00D90F45" w:rsidP="00BD3E10">
      <w:pPr>
        <w:jc w:val="both"/>
        <w:rPr>
          <w:rFonts w:ascii="Times New Roman" w:hAnsi="Times New Roman" w:cs="Times New Roman"/>
          <w:sz w:val="26"/>
          <w:szCs w:val="26"/>
        </w:rPr>
      </w:pPr>
      <w:r w:rsidRPr="00D90F4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Київський міський голова </w:t>
      </w:r>
      <w:r w:rsidRPr="00D90F4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D90F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</w:r>
      <w:r w:rsidRPr="00D90F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  <w:t xml:space="preserve"> </w:t>
      </w:r>
      <w:r w:rsidRPr="00D90F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</w:r>
      <w:r w:rsidRPr="00D90F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</w:r>
      <w:r w:rsidRPr="00D90F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  <w:t xml:space="preserve">      </w:t>
      </w:r>
      <w:r w:rsidR="00A56ED0" w:rsidRPr="00A56ED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Віталій  КЛИЧКО</w:t>
      </w:r>
    </w:p>
    <w:p w:rsidR="00D218AB" w:rsidRPr="00F31FAA" w:rsidRDefault="00D218AB" w:rsidP="00BD3E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18AB" w:rsidRPr="00F31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93D1B"/>
    <w:multiLevelType w:val="hybridMultilevel"/>
    <w:tmpl w:val="053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E8"/>
    <w:rsid w:val="00002A07"/>
    <w:rsid w:val="000476D8"/>
    <w:rsid w:val="001069EB"/>
    <w:rsid w:val="00114387"/>
    <w:rsid w:val="00161671"/>
    <w:rsid w:val="00260ACC"/>
    <w:rsid w:val="00303714"/>
    <w:rsid w:val="00390746"/>
    <w:rsid w:val="003A269A"/>
    <w:rsid w:val="004E488E"/>
    <w:rsid w:val="0055197B"/>
    <w:rsid w:val="007C01EB"/>
    <w:rsid w:val="0096087D"/>
    <w:rsid w:val="009B06A5"/>
    <w:rsid w:val="009E2434"/>
    <w:rsid w:val="00A56ED0"/>
    <w:rsid w:val="00BD3E10"/>
    <w:rsid w:val="00C336E1"/>
    <w:rsid w:val="00D218AB"/>
    <w:rsid w:val="00D90F45"/>
    <w:rsid w:val="00F31FAA"/>
    <w:rsid w:val="00F91A85"/>
    <w:rsid w:val="00FB2BC4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172C5-7A05-4A3D-87B7-443A1D5D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0A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В. Поздєєва</dc:creator>
  <cp:keywords/>
  <dc:description/>
  <cp:lastModifiedBy>Оксана В. Вем</cp:lastModifiedBy>
  <cp:revision>7</cp:revision>
  <cp:lastPrinted>2020-12-06T13:55:00Z</cp:lastPrinted>
  <dcterms:created xsi:type="dcterms:W3CDTF">2020-12-06T14:18:00Z</dcterms:created>
  <dcterms:modified xsi:type="dcterms:W3CDTF">2021-03-02T12:29:00Z</dcterms:modified>
</cp:coreProperties>
</file>